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9EA7">
      <w:pPr>
        <w:jc w:val="center"/>
        <w:rPr>
          <w:rFonts w:hint="eastAsia"/>
          <w:b/>
          <w:sz w:val="32"/>
          <w:szCs w:val="32"/>
          <w:lang w:val="en-US" w:eastAsia="zh-CN"/>
        </w:rPr>
      </w:pPr>
      <w:r>
        <w:rPr>
          <w:rFonts w:hint="eastAsia"/>
          <w:b/>
          <w:sz w:val="32"/>
          <w:szCs w:val="32"/>
          <w:lang w:val="en-US" w:eastAsia="zh-CN"/>
        </w:rPr>
        <w:t>珠海市中西医结合医院</w:t>
      </w:r>
    </w:p>
    <w:p w14:paraId="6C4905CC">
      <w:pPr>
        <w:jc w:val="center"/>
        <w:rPr>
          <w:rFonts w:hint="eastAsia"/>
          <w:b/>
          <w:sz w:val="32"/>
          <w:szCs w:val="32"/>
        </w:rPr>
      </w:pPr>
      <w:r>
        <w:rPr>
          <w:rFonts w:hint="eastAsia"/>
          <w:b/>
          <w:sz w:val="32"/>
          <w:szCs w:val="32"/>
          <w:lang w:val="en-US" w:eastAsia="zh-CN"/>
        </w:rPr>
        <w:t>年度电力采购服务项目</w:t>
      </w:r>
      <w:r>
        <w:rPr>
          <w:rFonts w:hint="eastAsia"/>
          <w:b/>
          <w:sz w:val="32"/>
          <w:szCs w:val="32"/>
        </w:rPr>
        <w:t>用户需求</w:t>
      </w:r>
    </w:p>
    <w:p w14:paraId="58559EDB">
      <w:pPr>
        <w:pStyle w:val="4"/>
        <w:snapToGrid w:val="0"/>
        <w:ind w:left="816" w:leftChars="229" w:hanging="335" w:hangingChars="139"/>
        <w:rPr>
          <w:rFonts w:hint="eastAsia" w:cs="宋体"/>
          <w:b/>
          <w:sz w:val="24"/>
        </w:rPr>
      </w:pPr>
    </w:p>
    <w:p w14:paraId="6CCBD5C2">
      <w:pPr>
        <w:pStyle w:val="4"/>
        <w:snapToGrid w:val="0"/>
        <w:ind w:left="816" w:leftChars="229" w:hanging="335" w:hangingChars="139"/>
        <w:rPr>
          <w:rFonts w:hint="eastAsia" w:cs="宋体"/>
          <w:b/>
          <w:sz w:val="24"/>
        </w:rPr>
      </w:pPr>
      <w:r>
        <w:rPr>
          <w:rFonts w:hint="eastAsia" w:cs="宋体"/>
          <w:b/>
          <w:sz w:val="24"/>
        </w:rPr>
        <w:t>一、</w:t>
      </w:r>
      <w:r>
        <w:rPr>
          <w:rFonts w:hint="eastAsia" w:cs="宋体"/>
          <w:b/>
          <w:sz w:val="24"/>
          <w:lang w:val="en-US" w:eastAsia="zh-CN"/>
        </w:rPr>
        <w:t>项目</w:t>
      </w:r>
      <w:r>
        <w:rPr>
          <w:rFonts w:hint="eastAsia" w:cs="宋体"/>
          <w:b/>
          <w:sz w:val="24"/>
        </w:rPr>
        <w:t>概况</w:t>
      </w:r>
    </w:p>
    <w:p w14:paraId="225A9B96">
      <w:pPr>
        <w:widowControl/>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1、招标项目名称：珠海市中西医结合医院</w:t>
      </w:r>
      <w:r>
        <w:rPr>
          <w:rFonts w:hint="eastAsia" w:ascii="宋体" w:hAnsi="宋体" w:cs="宋体"/>
          <w:bCs/>
          <w:sz w:val="24"/>
          <w:lang w:eastAsia="zh-CN"/>
        </w:rPr>
        <w:t>年度电力采购</w:t>
      </w:r>
      <w:r>
        <w:rPr>
          <w:rFonts w:hint="eastAsia" w:ascii="宋体" w:hAnsi="宋体" w:cs="宋体"/>
          <w:bCs/>
          <w:sz w:val="24"/>
          <w:lang w:val="en-US" w:eastAsia="zh-CN"/>
        </w:rPr>
        <w:t>服务</w:t>
      </w:r>
      <w:r>
        <w:rPr>
          <w:rFonts w:hint="eastAsia" w:ascii="宋体" w:hAnsi="宋体" w:cs="宋体"/>
          <w:bCs/>
          <w:sz w:val="24"/>
          <w:lang w:eastAsia="zh-CN"/>
        </w:rPr>
        <w:t>项目</w:t>
      </w:r>
    </w:p>
    <w:p w14:paraId="2685D9A3">
      <w:pPr>
        <w:widowControl/>
        <w:numPr>
          <w:ilvl w:val="0"/>
          <w:numId w:val="0"/>
        </w:numPr>
        <w:adjustRightInd w:val="0"/>
        <w:snapToGrid w:val="0"/>
        <w:spacing w:line="360" w:lineRule="auto"/>
        <w:ind w:firstLine="480" w:firstLineChars="200"/>
        <w:rPr>
          <w:rFonts w:hint="default" w:ascii="宋体" w:hAnsi="宋体" w:eastAsia="宋体" w:cs="宋体"/>
          <w:bCs/>
          <w:sz w:val="24"/>
          <w:lang w:val="en-US" w:eastAsia="zh-CN"/>
        </w:rPr>
      </w:pPr>
      <w:r>
        <w:rPr>
          <w:rFonts w:hint="eastAsia" w:ascii="宋体" w:hAnsi="宋体" w:cs="宋体"/>
          <w:bCs/>
          <w:sz w:val="24"/>
          <w:lang w:val="en-US" w:eastAsia="zh-CN"/>
        </w:rPr>
        <w:t>2、</w:t>
      </w:r>
      <w:r>
        <w:rPr>
          <w:rFonts w:hint="eastAsia" w:ascii="宋体" w:hAnsi="宋体" w:cs="宋体"/>
          <w:bCs/>
          <w:sz w:val="24"/>
        </w:rPr>
        <w:t>项目</w:t>
      </w:r>
      <w:r>
        <w:rPr>
          <w:rFonts w:hint="eastAsia" w:ascii="宋体" w:hAnsi="宋体" w:cs="宋体"/>
          <w:bCs/>
          <w:sz w:val="24"/>
          <w:lang w:val="en-US" w:eastAsia="zh-CN"/>
        </w:rPr>
        <w:t>范围</w:t>
      </w:r>
      <w:r>
        <w:rPr>
          <w:rFonts w:hint="eastAsia" w:ascii="宋体" w:hAnsi="宋体" w:cs="宋体"/>
          <w:bCs/>
          <w:sz w:val="24"/>
        </w:rPr>
        <w:t>：珠海市中西医结合医院</w:t>
      </w:r>
      <w:r>
        <w:rPr>
          <w:rFonts w:hint="eastAsia" w:ascii="宋体" w:hAnsi="宋体" w:cs="宋体"/>
          <w:bCs/>
          <w:sz w:val="24"/>
          <w:lang w:val="en-US" w:eastAsia="zh-CN"/>
        </w:rPr>
        <w:t>院本部、莲花路社康中心</w:t>
      </w:r>
    </w:p>
    <w:p w14:paraId="28599308">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rPr>
        <w:t>项目内容:为配合贯彻落实国家和省关于深化电力体制改革和电力市场建设有关工作部署，同时进一步落实“过紧日子”的要求，严格控制一般性支出，采购一家在广东电力交易中心备案具有资质的售电公司，在市场价格波动中始终以不高于南方电网的代理电价为我院提供服务，同时承担所有电量偏差考核。预估年用电量约2500万千瓦时（最终用电需求以实际为准）。</w:t>
      </w:r>
    </w:p>
    <w:p w14:paraId="0B92DFA3">
      <w:pPr>
        <w:widowControl/>
        <w:numPr>
          <w:ilvl w:val="0"/>
          <w:numId w:val="0"/>
        </w:numPr>
        <w:adjustRightInd w:val="0"/>
        <w:snapToGrid w:val="0"/>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4、服务期限</w:t>
      </w: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年</w:t>
      </w:r>
    </w:p>
    <w:p w14:paraId="3B7C5339">
      <w:pPr>
        <w:widowControl/>
        <w:numPr>
          <w:ilvl w:val="0"/>
          <w:numId w:val="0"/>
        </w:numPr>
        <w:adjustRightInd w:val="0"/>
        <w:snapToGrid w:val="0"/>
        <w:spacing w:line="360" w:lineRule="auto"/>
        <w:ind w:firstLine="480" w:firstLineChars="200"/>
        <w:rPr>
          <w:rFonts w:hint="default" w:ascii="宋体" w:hAnsi="宋体" w:cs="宋体"/>
          <w:bCs/>
          <w:sz w:val="24"/>
          <w:lang w:val="en-US" w:eastAsia="zh-CN"/>
        </w:rPr>
      </w:pPr>
      <w:r>
        <w:rPr>
          <w:rFonts w:hint="eastAsia" w:ascii="宋体" w:hAnsi="宋体" w:cs="宋体"/>
          <w:bCs/>
          <w:sz w:val="24"/>
          <w:lang w:val="en-US" w:eastAsia="zh-CN"/>
        </w:rPr>
        <w:t>5、项目预算：9600000元</w:t>
      </w:r>
    </w:p>
    <w:p w14:paraId="449F7ECB">
      <w:pPr>
        <w:widowControl/>
        <w:spacing w:line="360" w:lineRule="auto"/>
        <w:ind w:firstLine="482" w:firstLineChars="200"/>
        <w:jc w:val="left"/>
        <w:rPr>
          <w:rFonts w:hint="eastAsia" w:ascii="宋体" w:hAnsi="宋体" w:eastAsia="宋体" w:cs="宋体"/>
          <w:b/>
          <w:bCs/>
          <w:color w:val="000000"/>
          <w:kern w:val="0"/>
          <w:sz w:val="24"/>
          <w:szCs w:val="24"/>
          <w:lang w:eastAsia="zh-CN"/>
        </w:rPr>
      </w:pPr>
    </w:p>
    <w:p w14:paraId="1A2EEA8F">
      <w:pPr>
        <w:widowControl/>
        <w:spacing w:line="360" w:lineRule="auto"/>
        <w:ind w:firstLine="482" w:firstLineChars="200"/>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二、服务内容</w:t>
      </w:r>
    </w:p>
    <w:p w14:paraId="4AFB8D1B">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1、采用“固定价格+市场联动模式”，按照90%固定价格+10%市场联动价格（选用“月度中长期交易综合价”，较为稳定，此外文件规定联动价格占比最低为10%），二者根据政策规定组合计价为我院最终代理电价。</w:t>
      </w:r>
    </w:p>
    <w:p w14:paraId="5973250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投标单位投标的价格为“固定价格”部分,固定价格模式占比90%，报价最高限价：0.3724元/千瓦时；最低限价（广东省能源局相关规定）：0.372元/千瓦时。此外我院不进行“煤电联动”，浮动电费固定为0.00元/千瓦时（避免某些售电公司低价中标暗藏高额浮动费用），市场风险调控选择“超额电费共担”（避免某些售电公司恶意解约使我院陷入被动）。</w:t>
      </w:r>
    </w:p>
    <w:p w14:paraId="3A0B62C5">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投标单位需同时承诺在市场价格波动中始终以不高于南方电网的代理电价为我院提供服务，如高于南方电网代理电价，则中标单位向我院返还我院实际使用电量*中标单位中标价高于南方电网代理电价部分的全部费用，同时承担电量偏差考核。</w:t>
      </w:r>
    </w:p>
    <w:p w14:paraId="7FB423B8">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p>
    <w:p w14:paraId="667F8EE7">
      <w:pPr>
        <w:rPr>
          <w:rFonts w:hint="eastAsia" w:cs="宋体"/>
          <w:b/>
          <w:sz w:val="24"/>
          <w:lang w:val="en-US" w:eastAsia="zh-CN"/>
        </w:rPr>
      </w:pPr>
      <w:r>
        <w:rPr>
          <w:rFonts w:hint="eastAsia" w:cs="宋体"/>
          <w:b/>
          <w:sz w:val="24"/>
          <w:lang w:val="en-US" w:eastAsia="zh-CN"/>
        </w:rPr>
        <w:br w:type="page"/>
      </w:r>
    </w:p>
    <w:p w14:paraId="03076EBC">
      <w:pPr>
        <w:pStyle w:val="4"/>
        <w:snapToGrid w:val="0"/>
        <w:ind w:left="816" w:leftChars="229" w:hanging="335" w:hangingChars="139"/>
        <w:rPr>
          <w:rFonts w:hint="eastAsia" w:eastAsia="宋体" w:cs="宋体"/>
          <w:b/>
          <w:sz w:val="24"/>
          <w:lang w:eastAsia="zh-CN"/>
        </w:rPr>
      </w:pPr>
      <w:r>
        <w:rPr>
          <w:rFonts w:hint="eastAsia" w:cs="宋体"/>
          <w:b/>
          <w:sz w:val="24"/>
          <w:lang w:val="en-US" w:eastAsia="zh-CN"/>
        </w:rPr>
        <w:t>三</w:t>
      </w:r>
      <w:r>
        <w:rPr>
          <w:rFonts w:hint="eastAsia" w:cs="宋体"/>
          <w:b/>
          <w:sz w:val="24"/>
        </w:rPr>
        <w:t>、</w:t>
      </w:r>
      <w:r>
        <w:rPr>
          <w:rFonts w:hint="eastAsia" w:cs="宋体"/>
          <w:b/>
          <w:sz w:val="24"/>
          <w:lang w:eastAsia="zh-CN"/>
        </w:rPr>
        <w:t>服务要求</w:t>
      </w:r>
    </w:p>
    <w:p w14:paraId="1609E22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1</w:t>
      </w:r>
      <w:r>
        <w:rPr>
          <w:rFonts w:hint="eastAsia" w:ascii="宋体" w:hAnsi="宋体" w:cs="宋体"/>
          <w:bCs/>
          <w:sz w:val="24"/>
          <w:lang w:eastAsia="zh-CN"/>
        </w:rPr>
        <w:t>、</w:t>
      </w:r>
      <w:r>
        <w:rPr>
          <w:rFonts w:hint="eastAsia" w:ascii="宋体" w:hAnsi="宋体" w:eastAsia="宋体" w:cs="宋体"/>
          <w:bCs/>
          <w:sz w:val="24"/>
          <w:lang w:eastAsia="zh-CN"/>
        </w:rPr>
        <w:t>成交供应商按采购人实际用电量，参与广东省电力市场交易，同时由成交供应商承担全部电量偏差考核。成交供应商需承诺在市场价格波动中始终以不高于南方电网的代理电价为我院提供服务，如高于南方电网代理电价，则成交供应商向采购人返还采购人实际使用电量*成交供应商中标价高于南方电网代理电价部分的全部费用。</w:t>
      </w:r>
    </w:p>
    <w:p w14:paraId="061DE9DA">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2</w:t>
      </w:r>
      <w:r>
        <w:rPr>
          <w:rFonts w:hint="eastAsia" w:ascii="宋体" w:hAnsi="宋体" w:cs="宋体"/>
          <w:bCs/>
          <w:sz w:val="24"/>
          <w:lang w:eastAsia="zh-CN"/>
        </w:rPr>
        <w:t>、</w:t>
      </w:r>
      <w:r>
        <w:rPr>
          <w:rFonts w:hint="eastAsia" w:ascii="宋体" w:hAnsi="宋体" w:eastAsia="宋体" w:cs="宋体"/>
          <w:bCs/>
          <w:sz w:val="24"/>
          <w:lang w:eastAsia="zh-CN"/>
        </w:rPr>
        <w:t>成交供应商参与电力市场化交易，负责每月交易电量申报、交易、结算工作。成交供应商协助采购人完善电力交易平台市场注册等事宜，并负责后期电力交易相关的全周期电力交易服务。</w:t>
      </w:r>
    </w:p>
    <w:p w14:paraId="30A2125B">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3</w:t>
      </w:r>
      <w:r>
        <w:rPr>
          <w:rFonts w:hint="eastAsia" w:ascii="宋体" w:hAnsi="宋体" w:cs="宋体"/>
          <w:bCs/>
          <w:sz w:val="24"/>
          <w:lang w:eastAsia="zh-CN"/>
        </w:rPr>
        <w:t>、</w:t>
      </w:r>
      <w:r>
        <w:rPr>
          <w:rFonts w:hint="eastAsia" w:ascii="宋体" w:hAnsi="宋体" w:eastAsia="宋体" w:cs="宋体"/>
          <w:bCs/>
          <w:sz w:val="24"/>
          <w:lang w:eastAsia="zh-CN"/>
        </w:rPr>
        <w:t>成交供应商负责电量电费分析、电力技术咨询、电力技术服务，重点包括与电网企业的沟通，发行电费准确性、合理性分析，相应发票获取及用电手续</w:t>
      </w:r>
      <w:bookmarkStart w:id="0" w:name="_GoBack"/>
      <w:bookmarkEnd w:id="0"/>
      <w:r>
        <w:rPr>
          <w:rFonts w:hint="eastAsia" w:ascii="宋体" w:hAnsi="宋体" w:eastAsia="宋体" w:cs="宋体"/>
          <w:bCs/>
          <w:sz w:val="24"/>
          <w:lang w:eastAsia="zh-CN"/>
        </w:rPr>
        <w:t>办理等业务，每月提供交易电量结算清单，明确交易电量和电价，并如实向采购人提供真实准确的交易相关信息和资料。</w:t>
      </w:r>
    </w:p>
    <w:p w14:paraId="03AE614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4</w:t>
      </w:r>
      <w:r>
        <w:rPr>
          <w:rFonts w:hint="eastAsia" w:ascii="宋体" w:hAnsi="宋体" w:cs="宋体"/>
          <w:bCs/>
          <w:sz w:val="24"/>
          <w:lang w:eastAsia="zh-CN"/>
        </w:rPr>
        <w:t>、</w:t>
      </w:r>
      <w:r>
        <w:rPr>
          <w:rFonts w:hint="eastAsia" w:ascii="宋体" w:hAnsi="宋体" w:eastAsia="宋体" w:cs="宋体"/>
          <w:bCs/>
          <w:sz w:val="24"/>
          <w:lang w:eastAsia="zh-CN"/>
        </w:rPr>
        <w:t>成交供应商提供的购电服务应不改变采购人原有的用电习惯，供电模式和供电质量保障不变，所有交易流程全权委托售电公司进行，具体工作内容及范围以采购人委托为准。</w:t>
      </w:r>
    </w:p>
    <w:p w14:paraId="497B6ED3">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eastAsia="宋体" w:cs="宋体"/>
          <w:bCs/>
          <w:sz w:val="24"/>
          <w:lang w:eastAsia="zh-CN"/>
        </w:rPr>
        <w:t>5</w:t>
      </w:r>
      <w:r>
        <w:rPr>
          <w:rFonts w:hint="eastAsia" w:ascii="宋体" w:hAnsi="宋体" w:cs="宋体"/>
          <w:bCs/>
          <w:sz w:val="24"/>
          <w:lang w:eastAsia="zh-CN"/>
        </w:rPr>
        <w:t>、</w:t>
      </w:r>
      <w:r>
        <w:rPr>
          <w:rFonts w:hint="eastAsia" w:ascii="宋体" w:hAnsi="宋体" w:eastAsia="宋体" w:cs="宋体"/>
          <w:bCs/>
          <w:sz w:val="24"/>
          <w:lang w:eastAsia="zh-CN"/>
        </w:rPr>
        <w:t>响应人应清楚知悉采购人用电需求为估算量，最终用电需求以实际为准，成交供应商应有充足的配额能确保采购人的用电需求，成交供应商不得因采购人用电需求与实际不符追索采购人违约责任。</w:t>
      </w:r>
    </w:p>
    <w:p w14:paraId="2DE0038E">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val="en-US" w:eastAsia="zh-CN"/>
        </w:rPr>
      </w:pPr>
      <w:r>
        <w:rPr>
          <w:rFonts w:hint="eastAsia" w:ascii="宋体" w:hAnsi="宋体" w:cs="宋体"/>
          <w:bCs/>
          <w:sz w:val="24"/>
          <w:lang w:val="en-US" w:eastAsia="zh-CN"/>
        </w:rPr>
        <w:t>6、</w:t>
      </w:r>
      <w:r>
        <w:rPr>
          <w:rFonts w:hint="eastAsia" w:ascii="宋体" w:hAnsi="宋体" w:eastAsia="宋体" w:cs="宋体"/>
          <w:bCs/>
          <w:sz w:val="24"/>
          <w:lang w:val="en-US" w:eastAsia="zh-CN"/>
        </w:rPr>
        <w:t>成交供应商提供7天24小时服务热线，24小时技术支持。针对采购人提出的问题应当在2小时内解决，在线无法解决的应当在6小时内到达现场协助采购人解决。</w:t>
      </w:r>
    </w:p>
    <w:p w14:paraId="1FD76931">
      <w:pPr>
        <w:widowControl/>
        <w:adjustRightInd w:val="0"/>
        <w:snapToGrid w:val="0"/>
        <w:spacing w:line="360" w:lineRule="auto"/>
        <w:ind w:firstLine="482" w:firstLineChars="200"/>
        <w:rPr>
          <w:rFonts w:hint="eastAsia" w:ascii="宋体" w:hAnsi="宋体" w:cs="宋体"/>
          <w:b/>
          <w:bCs w:val="0"/>
          <w:sz w:val="24"/>
          <w:lang w:val="en-US" w:eastAsia="zh-CN"/>
        </w:rPr>
      </w:pPr>
    </w:p>
    <w:p w14:paraId="5164F703">
      <w:pPr>
        <w:widowControl/>
        <w:numPr>
          <w:ilvl w:val="0"/>
          <w:numId w:val="0"/>
        </w:numPr>
        <w:adjustRightInd w:val="0"/>
        <w:snapToGrid w:val="0"/>
        <w:spacing w:line="360" w:lineRule="auto"/>
        <w:ind w:firstLine="482" w:firstLineChars="200"/>
        <w:jc w:val="left"/>
        <w:rPr>
          <w:rFonts w:hint="eastAsia" w:ascii="宋体" w:hAnsi="宋体" w:cs="宋体"/>
          <w:b/>
          <w:bCs w:val="0"/>
          <w:sz w:val="24"/>
          <w:lang w:eastAsia="zh-CN"/>
        </w:rPr>
      </w:pPr>
      <w:r>
        <w:rPr>
          <w:rFonts w:hint="eastAsia" w:ascii="宋体" w:hAnsi="宋体" w:cs="宋体"/>
          <w:b/>
          <w:bCs w:val="0"/>
          <w:sz w:val="24"/>
          <w:lang w:val="en-US" w:eastAsia="zh-CN"/>
        </w:rPr>
        <w:t>四</w:t>
      </w:r>
      <w:r>
        <w:rPr>
          <w:rFonts w:hint="eastAsia" w:ascii="宋体" w:hAnsi="宋体" w:cs="宋体"/>
          <w:b/>
          <w:bCs w:val="0"/>
          <w:sz w:val="24"/>
          <w:lang w:eastAsia="zh-CN"/>
        </w:rPr>
        <w:t>、资质要求</w:t>
      </w:r>
    </w:p>
    <w:p w14:paraId="32F0C9A9">
      <w:pPr>
        <w:widowControl/>
        <w:numPr>
          <w:ilvl w:val="0"/>
          <w:numId w:val="0"/>
        </w:numPr>
        <w:adjustRightInd w:val="0"/>
        <w:snapToGrid w:val="0"/>
        <w:spacing w:line="360" w:lineRule="auto"/>
        <w:ind w:firstLine="480" w:firstLineChars="200"/>
        <w:jc w:val="left"/>
        <w:rPr>
          <w:rFonts w:hint="eastAsia" w:ascii="宋体" w:hAnsi="宋体" w:eastAsia="宋体" w:cs="宋体"/>
          <w:bCs/>
          <w:sz w:val="24"/>
          <w:lang w:eastAsia="zh-CN"/>
        </w:rPr>
      </w:pPr>
      <w:r>
        <w:rPr>
          <w:rFonts w:hint="eastAsia" w:ascii="宋体" w:hAnsi="宋体" w:cs="宋体"/>
          <w:bCs/>
          <w:sz w:val="24"/>
          <w:lang w:val="en-US" w:eastAsia="zh-CN"/>
        </w:rPr>
        <w:t>1、</w:t>
      </w:r>
      <w:r>
        <w:rPr>
          <w:rFonts w:hint="eastAsia" w:ascii="宋体" w:hAnsi="宋体" w:eastAsia="宋体" w:cs="宋体"/>
          <w:bCs/>
          <w:sz w:val="24"/>
          <w:lang w:eastAsia="zh-CN"/>
        </w:rPr>
        <w:t>满足《中华人民共和国政府采购法》第二十二条规定；</w:t>
      </w:r>
    </w:p>
    <w:p w14:paraId="68917641">
      <w:pPr>
        <w:widowControl/>
        <w:numPr>
          <w:ilvl w:val="0"/>
          <w:numId w:val="0"/>
        </w:numPr>
        <w:adjustRightInd w:val="0"/>
        <w:snapToGrid w:val="0"/>
        <w:spacing w:line="360" w:lineRule="auto"/>
        <w:ind w:firstLine="480" w:firstLineChars="200"/>
        <w:jc w:val="left"/>
        <w:rPr>
          <w:rFonts w:hint="default" w:ascii="宋体" w:hAnsi="宋体" w:eastAsia="宋体" w:cs="宋体"/>
          <w:bCs/>
          <w:sz w:val="24"/>
          <w:lang w:val="en-US" w:eastAsia="zh-CN"/>
        </w:rPr>
      </w:pPr>
      <w:r>
        <w:rPr>
          <w:rFonts w:hint="eastAsia" w:ascii="宋体" w:hAnsi="宋体" w:eastAsia="宋体" w:cs="宋体"/>
          <w:bCs/>
          <w:sz w:val="24"/>
          <w:lang w:eastAsia="zh-CN"/>
        </w:rPr>
        <w:t>2、投标人被广东电力交易中心列入售电公司目录，提供有效期内的售电资质证明、有效期内的入市协议及有效的售电牌照编码</w:t>
      </w:r>
      <w:r>
        <w:rPr>
          <w:rFonts w:hint="eastAsia" w:ascii="宋体" w:hAnsi="宋体" w:cs="宋体"/>
          <w:bCs/>
          <w:sz w:val="24"/>
          <w:lang w:eastAsia="zh-CN"/>
        </w:rPr>
        <w:t>。</w:t>
      </w:r>
    </w:p>
    <w:p w14:paraId="499752FA">
      <w:pPr>
        <w:jc w:val="left"/>
        <w:rPr>
          <w:rFonts w:hint="eastAsia" w:ascii="宋体" w:hAnsi="宋体" w:cs="宋体"/>
          <w:bCs/>
          <w:sz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78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45E101">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545E10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NDg5ZDYyNDU5MDYxNjUwZjJkY2JlODEzMjNkNDUifQ=="/>
  </w:docVars>
  <w:rsids>
    <w:rsidRoot w:val="00956595"/>
    <w:rsid w:val="001E32A1"/>
    <w:rsid w:val="00314F79"/>
    <w:rsid w:val="00646312"/>
    <w:rsid w:val="00956595"/>
    <w:rsid w:val="00D86558"/>
    <w:rsid w:val="01AB23DF"/>
    <w:rsid w:val="02CA2411"/>
    <w:rsid w:val="04D961D2"/>
    <w:rsid w:val="05F215DA"/>
    <w:rsid w:val="06BC62C2"/>
    <w:rsid w:val="06CD0B85"/>
    <w:rsid w:val="089445F5"/>
    <w:rsid w:val="09F2525B"/>
    <w:rsid w:val="0A394D32"/>
    <w:rsid w:val="0AF61380"/>
    <w:rsid w:val="0BEE4319"/>
    <w:rsid w:val="0D84645E"/>
    <w:rsid w:val="0E2E284C"/>
    <w:rsid w:val="0E384C75"/>
    <w:rsid w:val="0F596DD9"/>
    <w:rsid w:val="109721F0"/>
    <w:rsid w:val="10A9484F"/>
    <w:rsid w:val="10CC228F"/>
    <w:rsid w:val="10E261B1"/>
    <w:rsid w:val="12470936"/>
    <w:rsid w:val="14056FCA"/>
    <w:rsid w:val="15494AF6"/>
    <w:rsid w:val="161019F1"/>
    <w:rsid w:val="1AF7289A"/>
    <w:rsid w:val="1D141E15"/>
    <w:rsid w:val="1FA77D7C"/>
    <w:rsid w:val="208330B8"/>
    <w:rsid w:val="2150247C"/>
    <w:rsid w:val="230F7DC9"/>
    <w:rsid w:val="253C19F6"/>
    <w:rsid w:val="26E478C3"/>
    <w:rsid w:val="274C7C07"/>
    <w:rsid w:val="2A046A9A"/>
    <w:rsid w:val="2A442517"/>
    <w:rsid w:val="2A7124F1"/>
    <w:rsid w:val="2ABF66C9"/>
    <w:rsid w:val="2B1044F4"/>
    <w:rsid w:val="2B815643"/>
    <w:rsid w:val="2BF10F0D"/>
    <w:rsid w:val="2FD83204"/>
    <w:rsid w:val="309B71A2"/>
    <w:rsid w:val="326F499F"/>
    <w:rsid w:val="347A6720"/>
    <w:rsid w:val="34B84026"/>
    <w:rsid w:val="359E58CB"/>
    <w:rsid w:val="35A54B95"/>
    <w:rsid w:val="3672117D"/>
    <w:rsid w:val="37465132"/>
    <w:rsid w:val="387621B1"/>
    <w:rsid w:val="387C718B"/>
    <w:rsid w:val="39DA2225"/>
    <w:rsid w:val="39F7798F"/>
    <w:rsid w:val="3A0100BD"/>
    <w:rsid w:val="3B1968AD"/>
    <w:rsid w:val="3C3A31D9"/>
    <w:rsid w:val="3D1A302F"/>
    <w:rsid w:val="40AD1F78"/>
    <w:rsid w:val="41C41101"/>
    <w:rsid w:val="41F74B66"/>
    <w:rsid w:val="4232169D"/>
    <w:rsid w:val="45090FEE"/>
    <w:rsid w:val="45E51BD9"/>
    <w:rsid w:val="473D4CBB"/>
    <w:rsid w:val="481446BB"/>
    <w:rsid w:val="4849219C"/>
    <w:rsid w:val="49903B46"/>
    <w:rsid w:val="4DBB1142"/>
    <w:rsid w:val="4EE7286F"/>
    <w:rsid w:val="508205CE"/>
    <w:rsid w:val="50E5374C"/>
    <w:rsid w:val="53C24C7C"/>
    <w:rsid w:val="545A5203"/>
    <w:rsid w:val="556D6BE9"/>
    <w:rsid w:val="560D4FDF"/>
    <w:rsid w:val="561B0A15"/>
    <w:rsid w:val="56CC2D80"/>
    <w:rsid w:val="57811FC9"/>
    <w:rsid w:val="5A816D3E"/>
    <w:rsid w:val="5B75239C"/>
    <w:rsid w:val="5CD02427"/>
    <w:rsid w:val="5D2E4F44"/>
    <w:rsid w:val="5DAB3A48"/>
    <w:rsid w:val="5EFC7CEE"/>
    <w:rsid w:val="60076C01"/>
    <w:rsid w:val="634E77AA"/>
    <w:rsid w:val="68823987"/>
    <w:rsid w:val="68C14FA6"/>
    <w:rsid w:val="6A5430DB"/>
    <w:rsid w:val="6A5864E9"/>
    <w:rsid w:val="6B1545DE"/>
    <w:rsid w:val="6DD10457"/>
    <w:rsid w:val="6E237515"/>
    <w:rsid w:val="6FC1387B"/>
    <w:rsid w:val="705F2453"/>
    <w:rsid w:val="70FE54E7"/>
    <w:rsid w:val="71C57E2C"/>
    <w:rsid w:val="722135F2"/>
    <w:rsid w:val="727D1FBC"/>
    <w:rsid w:val="72982681"/>
    <w:rsid w:val="729B5FC0"/>
    <w:rsid w:val="7338355D"/>
    <w:rsid w:val="73B31C3E"/>
    <w:rsid w:val="73D8046D"/>
    <w:rsid w:val="73E80006"/>
    <w:rsid w:val="75FF080A"/>
    <w:rsid w:val="76080E37"/>
    <w:rsid w:val="76576537"/>
    <w:rsid w:val="7A5709A7"/>
    <w:rsid w:val="7AB90228"/>
    <w:rsid w:val="7B1B17E4"/>
    <w:rsid w:val="7CFA5C81"/>
    <w:rsid w:val="7FE45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left="716" w:leftChars="341" w:firstLine="2"/>
    </w:pPr>
    <w:rPr>
      <w:rFonts w:ascii="宋体" w:hAnsi="宋体"/>
      <w:bCs/>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555555"/>
      <w:u w:val="none"/>
    </w:rPr>
  </w:style>
  <w:style w:type="character" w:styleId="11">
    <w:name w:val="Hyperlink"/>
    <w:basedOn w:val="9"/>
    <w:qFormat/>
    <w:uiPriority w:val="0"/>
    <w:rPr>
      <w:color w:val="555555"/>
      <w:u w:val="none"/>
    </w:rPr>
  </w:style>
  <w:style w:type="character" w:customStyle="1" w:styleId="12">
    <w:name w:val="页脚 Char"/>
    <w:basedOn w:val="9"/>
    <w:link w:val="5"/>
    <w:qFormat/>
    <w:uiPriority w:val="0"/>
    <w:rPr>
      <w:kern w:val="2"/>
      <w:sz w:val="18"/>
      <w:szCs w:val="18"/>
    </w:rPr>
  </w:style>
  <w:style w:type="character" w:customStyle="1" w:styleId="13">
    <w:name w:val="页眉 Char"/>
    <w:basedOn w:val="9"/>
    <w:link w:val="6"/>
    <w:qFormat/>
    <w:uiPriority w:val="0"/>
    <w:rPr>
      <w:kern w:val="2"/>
      <w:sz w:val="18"/>
      <w:szCs w:val="18"/>
    </w:rPr>
  </w:style>
  <w:style w:type="character" w:customStyle="1" w:styleId="14">
    <w:name w:val="target_fixed"/>
    <w:basedOn w:val="9"/>
    <w:qFormat/>
    <w:uiPriority w:val="0"/>
  </w:style>
  <w:style w:type="character" w:customStyle="1" w:styleId="15">
    <w:name w:val="button"/>
    <w:basedOn w:val="9"/>
    <w:qFormat/>
    <w:uiPriority w:val="0"/>
  </w:style>
  <w:style w:type="character" w:customStyle="1" w:styleId="16">
    <w:name w:val="tmpztreemove_arrow"/>
    <w:basedOn w:val="9"/>
    <w:qFormat/>
    <w:uiPriority w:val="0"/>
  </w:style>
  <w:style w:type="character" w:customStyle="1" w:styleId="17">
    <w:name w:val="on"/>
    <w:basedOn w:val="9"/>
    <w:qFormat/>
    <w:uiPriority w:val="0"/>
    <w:rPr>
      <w:vanish/>
      <w:shd w:val="clear" w:color="auto" w:fill="FFFFFF"/>
    </w:rPr>
  </w:style>
  <w:style w:type="paragraph" w:styleId="18">
    <w:name w:val="List Paragraph"/>
    <w:basedOn w:val="1"/>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纯文本_0"/>
    <w:basedOn w:val="19"/>
    <w:next w:val="19"/>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1329</Words>
  <Characters>1361</Characters>
  <Lines>2</Lines>
  <Paragraphs>1</Paragraphs>
  <TotalTime>72</TotalTime>
  <ScaleCrop>false</ScaleCrop>
  <LinksUpToDate>false</LinksUpToDate>
  <CharactersWithSpaces>1361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2018-10-23T11:43:00Z</dcterms:created>
  <dc:creator>SDWM</dc:creator>
  <cp:lastModifiedBy>Administrator</cp:lastModifiedBy>
  <cp:lastPrinted>2023-09-28T02:42:00Z</cp:lastPrinted>
  <dcterms:modified xsi:type="dcterms:W3CDTF">2025-11-19T09:05:40Z</dcterms:modified>
  <dc:title>投标资质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813D41C209F443599F3CA8732B882F1B_13</vt:lpwstr>
  </property>
  <property fmtid="{D5CDD505-2E9C-101B-9397-08002B2CF9AE}" pid="4" name="KSOTemplateDocerSaveRecord">
    <vt:lpwstr>eyJoZGlkIjoiNzFjZWI1ZGY0YjMyMzhlYzRiY2I0NTY1NzAyNzc0OGMiLCJ1c2VySWQiOiIzODgxMzUyNjIifQ==</vt:lpwstr>
  </property>
</Properties>
</file>