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D09EA7">
      <w:pPr>
        <w:jc w:val="center"/>
        <w:rPr>
          <w:rFonts w:hint="eastAsia"/>
          <w:b/>
          <w:sz w:val="28"/>
          <w:szCs w:val="28"/>
          <w:lang w:val="en-US" w:eastAsia="zh-CN"/>
        </w:rPr>
      </w:pPr>
      <w:r>
        <w:rPr>
          <w:rFonts w:hint="eastAsia"/>
          <w:b/>
          <w:sz w:val="28"/>
          <w:szCs w:val="28"/>
          <w:lang w:val="en-US" w:eastAsia="zh-CN"/>
        </w:rPr>
        <w:t>珠海市中西医结合医院</w:t>
      </w:r>
    </w:p>
    <w:p w14:paraId="6C4905CC">
      <w:pPr>
        <w:jc w:val="center"/>
        <w:rPr>
          <w:rFonts w:hint="eastAsia"/>
          <w:b/>
          <w:sz w:val="28"/>
          <w:szCs w:val="28"/>
        </w:rPr>
      </w:pPr>
      <w:r>
        <w:rPr>
          <w:rFonts w:hint="eastAsia"/>
          <w:b/>
          <w:sz w:val="28"/>
          <w:szCs w:val="28"/>
          <w:lang w:val="en-US" w:eastAsia="zh-CN"/>
        </w:rPr>
        <w:t>电气年度维护保养采购项目招标</w:t>
      </w:r>
      <w:r>
        <w:rPr>
          <w:rFonts w:hint="eastAsia"/>
          <w:b/>
          <w:sz w:val="28"/>
          <w:szCs w:val="28"/>
        </w:rPr>
        <w:t>用户需求</w:t>
      </w:r>
    </w:p>
    <w:p w14:paraId="58559EDB">
      <w:pPr>
        <w:pStyle w:val="4"/>
        <w:snapToGrid w:val="0"/>
        <w:ind w:left="816" w:leftChars="229" w:hanging="335" w:hangingChars="139"/>
        <w:rPr>
          <w:rFonts w:hint="eastAsia" w:cs="宋体"/>
          <w:b/>
          <w:sz w:val="24"/>
        </w:rPr>
      </w:pPr>
    </w:p>
    <w:p w14:paraId="6CCBD5C2">
      <w:pPr>
        <w:pStyle w:val="4"/>
        <w:snapToGrid w:val="0"/>
        <w:ind w:left="816" w:leftChars="229" w:hanging="335" w:hangingChars="139"/>
        <w:rPr>
          <w:rFonts w:hint="eastAsia" w:cs="宋体"/>
          <w:b/>
          <w:sz w:val="24"/>
        </w:rPr>
      </w:pPr>
      <w:r>
        <w:rPr>
          <w:rFonts w:hint="eastAsia" w:cs="宋体"/>
          <w:b/>
          <w:sz w:val="24"/>
        </w:rPr>
        <w:t>一、招标工程概况</w:t>
      </w:r>
    </w:p>
    <w:p w14:paraId="225A9B96">
      <w:pPr>
        <w:widowControl/>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1、招标项目名称：珠海市中西医结合医院</w:t>
      </w:r>
      <w:r>
        <w:rPr>
          <w:rFonts w:hint="eastAsia" w:ascii="宋体" w:hAnsi="宋体" w:cs="宋体"/>
          <w:bCs/>
          <w:sz w:val="24"/>
          <w:lang w:eastAsia="zh-CN"/>
        </w:rPr>
        <w:t>电气年度</w:t>
      </w:r>
      <w:r>
        <w:rPr>
          <w:rFonts w:hint="eastAsia" w:ascii="宋体" w:hAnsi="宋体" w:cs="宋体"/>
          <w:bCs/>
          <w:sz w:val="24"/>
          <w:lang w:val="en-US" w:eastAsia="zh-CN"/>
        </w:rPr>
        <w:t>维护保养</w:t>
      </w:r>
      <w:r>
        <w:rPr>
          <w:rFonts w:hint="eastAsia" w:ascii="宋体" w:hAnsi="宋体" w:cs="宋体"/>
          <w:bCs/>
          <w:sz w:val="24"/>
          <w:lang w:eastAsia="zh-CN"/>
        </w:rPr>
        <w:t>采购项目</w:t>
      </w:r>
    </w:p>
    <w:p w14:paraId="2685D9A3">
      <w:pPr>
        <w:widowControl/>
        <w:numPr>
          <w:ilvl w:val="0"/>
          <w:numId w:val="0"/>
        </w:numPr>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lang w:val="en-US" w:eastAsia="zh-CN"/>
        </w:rPr>
        <w:t>2、</w:t>
      </w:r>
      <w:r>
        <w:rPr>
          <w:rFonts w:hint="eastAsia" w:ascii="宋体" w:hAnsi="宋体" w:cs="宋体"/>
          <w:bCs/>
          <w:sz w:val="24"/>
        </w:rPr>
        <w:t>项目地点：珠海市中西医结合医院</w:t>
      </w:r>
    </w:p>
    <w:p w14:paraId="28599308">
      <w:pPr>
        <w:widowControl/>
        <w:numPr>
          <w:ilvl w:val="0"/>
          <w:numId w:val="0"/>
        </w:numPr>
        <w:adjustRightInd w:val="0"/>
        <w:snapToGrid w:val="0"/>
        <w:spacing w:line="360" w:lineRule="auto"/>
        <w:ind w:firstLine="480" w:firstLineChars="200"/>
        <w:rPr>
          <w:rFonts w:hint="eastAsia" w:ascii="宋体" w:hAnsi="宋体" w:cs="宋体"/>
          <w:bCs/>
          <w:sz w:val="24"/>
          <w:lang w:eastAsia="zh-CN"/>
        </w:rPr>
      </w:pPr>
      <w:r>
        <w:rPr>
          <w:rFonts w:hint="eastAsia" w:ascii="宋体" w:hAnsi="宋体" w:cs="宋体"/>
          <w:bCs/>
          <w:sz w:val="24"/>
          <w:lang w:val="en-US" w:eastAsia="zh-CN"/>
        </w:rPr>
        <w:t>3、</w:t>
      </w:r>
      <w:r>
        <w:rPr>
          <w:rFonts w:hint="eastAsia" w:ascii="宋体" w:hAnsi="宋体" w:cs="宋体"/>
          <w:bCs/>
          <w:sz w:val="24"/>
        </w:rPr>
        <w:t>项目内容:按照国家及行业标准</w:t>
      </w:r>
      <w:r>
        <w:rPr>
          <w:rFonts w:hint="eastAsia" w:ascii="宋体" w:hAnsi="宋体" w:cs="宋体"/>
          <w:bCs/>
          <w:sz w:val="24"/>
          <w:lang w:val="en-US" w:eastAsia="zh-CN"/>
        </w:rPr>
        <w:t>规范</w:t>
      </w:r>
      <w:r>
        <w:rPr>
          <w:rFonts w:hint="eastAsia" w:ascii="宋体" w:hAnsi="宋体" w:cs="宋体"/>
          <w:bCs/>
          <w:sz w:val="24"/>
        </w:rPr>
        <w:t>对我院</w:t>
      </w:r>
      <w:r>
        <w:rPr>
          <w:rFonts w:hint="eastAsia" w:ascii="宋体" w:hAnsi="宋体" w:cs="宋体"/>
          <w:bCs/>
          <w:sz w:val="24"/>
          <w:lang w:eastAsia="zh-CN"/>
        </w:rPr>
        <w:t>电气系统进行维护保养。</w:t>
      </w:r>
    </w:p>
    <w:p w14:paraId="0B92DFA3">
      <w:pPr>
        <w:widowControl/>
        <w:numPr>
          <w:ilvl w:val="0"/>
          <w:numId w:val="0"/>
        </w:numPr>
        <w:adjustRightInd w:val="0"/>
        <w:snapToGrid w:val="0"/>
        <w:spacing w:line="360" w:lineRule="auto"/>
        <w:ind w:firstLine="480" w:firstLineChars="200"/>
        <w:rPr>
          <w:rFonts w:hint="eastAsia" w:ascii="宋体" w:hAnsi="宋体" w:eastAsia="宋体" w:cs="宋体"/>
          <w:bCs/>
          <w:sz w:val="24"/>
          <w:lang w:eastAsia="zh-CN"/>
        </w:rPr>
      </w:pPr>
      <w:r>
        <w:rPr>
          <w:rFonts w:hint="eastAsia" w:ascii="宋体" w:hAnsi="宋体" w:cs="宋体"/>
          <w:bCs/>
          <w:sz w:val="24"/>
          <w:lang w:val="en-US" w:eastAsia="zh-CN"/>
        </w:rPr>
        <w:t>4、维保期限</w:t>
      </w:r>
      <w:r>
        <w:rPr>
          <w:rFonts w:hint="eastAsia" w:ascii="宋体" w:hAnsi="宋体" w:cs="宋体"/>
          <w:bCs/>
          <w:sz w:val="24"/>
          <w:lang w:eastAsia="zh-CN"/>
        </w:rPr>
        <w:t>：</w:t>
      </w:r>
      <w:r>
        <w:rPr>
          <w:rFonts w:hint="eastAsia" w:ascii="宋体" w:hAnsi="宋体" w:cs="宋体"/>
          <w:bCs/>
          <w:sz w:val="24"/>
          <w:lang w:val="en-US" w:eastAsia="zh-CN"/>
        </w:rPr>
        <w:t>2</w:t>
      </w:r>
      <w:r>
        <w:rPr>
          <w:rFonts w:hint="eastAsia" w:ascii="宋体" w:hAnsi="宋体" w:cs="宋体"/>
          <w:bCs/>
          <w:sz w:val="24"/>
          <w:lang w:eastAsia="zh-CN"/>
        </w:rPr>
        <w:t>年（1+1模式）。</w:t>
      </w:r>
    </w:p>
    <w:p w14:paraId="1A2EEA8F">
      <w:pPr>
        <w:widowControl/>
        <w:spacing w:line="360" w:lineRule="auto"/>
        <w:ind w:firstLine="482" w:firstLineChars="200"/>
        <w:jc w:val="left"/>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lang w:eastAsia="zh-CN"/>
        </w:rPr>
        <w:t>二、维保服务内容</w:t>
      </w:r>
    </w:p>
    <w:p w14:paraId="7DC27FEE">
      <w:pPr>
        <w:widowControl/>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w:t>
      </w:r>
      <w:r>
        <w:rPr>
          <w:rFonts w:hint="eastAsia" w:ascii="宋体" w:hAnsi="宋体" w:cs="宋体"/>
          <w:bCs/>
          <w:sz w:val="24"/>
          <w:lang w:val="en-US" w:eastAsia="zh-CN"/>
        </w:rPr>
        <w:t>负责</w:t>
      </w:r>
      <w:r>
        <w:rPr>
          <w:rFonts w:hint="eastAsia" w:ascii="宋体" w:hAnsi="宋体" w:eastAsia="宋体" w:cs="宋体"/>
          <w:color w:val="000000"/>
          <w:kern w:val="0"/>
          <w:sz w:val="24"/>
          <w:szCs w:val="24"/>
          <w:lang w:val="en-US" w:eastAsia="zh-CN"/>
        </w:rPr>
        <w:t>对我院变配电系统</w:t>
      </w:r>
      <w:r>
        <w:rPr>
          <w:rFonts w:hint="eastAsia" w:ascii="宋体" w:hAnsi="宋体" w:eastAsia="宋体" w:cs="宋体"/>
          <w:bCs/>
          <w:sz w:val="24"/>
          <w:lang w:eastAsia="zh-CN"/>
        </w:rPr>
        <w:t>及高</w:t>
      </w:r>
      <w:r>
        <w:rPr>
          <w:rFonts w:hint="eastAsia" w:ascii="宋体" w:hAnsi="宋体" w:cs="宋体"/>
          <w:bCs/>
          <w:sz w:val="24"/>
          <w:lang w:val="en-US" w:eastAsia="zh-CN"/>
        </w:rPr>
        <w:t>低</w:t>
      </w:r>
      <w:r>
        <w:rPr>
          <w:rFonts w:hint="eastAsia" w:ascii="宋体" w:hAnsi="宋体" w:eastAsia="宋体" w:cs="宋体"/>
          <w:bCs/>
          <w:sz w:val="24"/>
          <w:lang w:eastAsia="zh-CN"/>
        </w:rPr>
        <w:t>压</w:t>
      </w:r>
      <w:r>
        <w:rPr>
          <w:rFonts w:hint="eastAsia" w:ascii="宋体" w:hAnsi="宋体" w:eastAsia="宋体" w:cs="宋体"/>
          <w:bCs/>
          <w:sz w:val="24"/>
          <w:lang w:val="en-US" w:eastAsia="zh-CN"/>
        </w:rPr>
        <w:t>供</w:t>
      </w:r>
      <w:r>
        <w:rPr>
          <w:rFonts w:hint="eastAsia" w:ascii="宋体" w:hAnsi="宋体" w:cs="宋体"/>
          <w:bCs/>
          <w:sz w:val="24"/>
          <w:lang w:val="en-US" w:eastAsia="zh-CN"/>
        </w:rPr>
        <w:t>配电</w:t>
      </w:r>
      <w:r>
        <w:rPr>
          <w:rFonts w:hint="eastAsia" w:ascii="宋体" w:hAnsi="宋体" w:eastAsia="宋体" w:cs="宋体"/>
          <w:bCs/>
          <w:sz w:val="24"/>
          <w:lang w:eastAsia="zh-CN"/>
        </w:rPr>
        <w:t>设备</w:t>
      </w:r>
      <w:r>
        <w:rPr>
          <w:rFonts w:hint="eastAsia" w:ascii="宋体" w:hAnsi="宋体" w:eastAsia="宋体" w:cs="宋体"/>
          <w:color w:val="000000"/>
          <w:kern w:val="0"/>
          <w:sz w:val="24"/>
          <w:szCs w:val="24"/>
          <w:lang w:val="en-US" w:eastAsia="zh-CN"/>
        </w:rPr>
        <w:t>进行维护保养，其</w:t>
      </w:r>
      <w:r>
        <w:rPr>
          <w:rFonts w:hint="eastAsia" w:ascii="宋体" w:hAnsi="宋体" w:cs="宋体"/>
          <w:color w:val="000000"/>
          <w:kern w:val="0"/>
          <w:sz w:val="24"/>
          <w:szCs w:val="24"/>
          <w:lang w:val="en-US" w:eastAsia="zh-CN"/>
        </w:rPr>
        <w:t>维保</w:t>
      </w:r>
      <w:r>
        <w:rPr>
          <w:rFonts w:hint="eastAsia" w:ascii="宋体" w:hAnsi="宋体" w:eastAsia="宋体" w:cs="宋体"/>
          <w:color w:val="000000"/>
          <w:kern w:val="0"/>
          <w:sz w:val="24"/>
          <w:szCs w:val="24"/>
          <w:lang w:val="en-US" w:eastAsia="zh-CN"/>
        </w:rPr>
        <w:t>范围包含</w:t>
      </w:r>
      <w:r>
        <w:rPr>
          <w:rFonts w:hint="eastAsia" w:ascii="宋体" w:hAnsi="宋体" w:cs="宋体"/>
          <w:color w:val="000000"/>
          <w:kern w:val="0"/>
          <w:sz w:val="24"/>
          <w:szCs w:val="24"/>
          <w:lang w:val="en-US" w:eastAsia="zh-CN"/>
        </w:rPr>
        <w:t>但</w:t>
      </w:r>
      <w:r>
        <w:rPr>
          <w:rFonts w:hint="eastAsia" w:ascii="宋体" w:hAnsi="宋体" w:eastAsia="宋体" w:cs="宋体"/>
          <w:color w:val="000000"/>
          <w:kern w:val="0"/>
          <w:sz w:val="24"/>
          <w:szCs w:val="24"/>
          <w:lang w:val="en-US" w:eastAsia="zh-CN"/>
        </w:rPr>
        <w:t>不限于：</w:t>
      </w:r>
    </w:p>
    <w:p w14:paraId="32B07BA0">
      <w:pPr>
        <w:widowControl/>
        <w:jc w:val="center"/>
        <w:rPr>
          <w:rFonts w:hint="eastAsia" w:ascii="宋体" w:hAnsi="宋体" w:cs="宋体"/>
          <w:b/>
          <w:bCs/>
          <w:color w:val="000000"/>
          <w:kern w:val="0"/>
          <w:sz w:val="21"/>
          <w:szCs w:val="21"/>
          <w:lang w:val="en-US" w:eastAsia="zh-CN"/>
        </w:rPr>
      </w:pPr>
    </w:p>
    <w:p w14:paraId="79E6F0A1">
      <w:pPr>
        <w:widowControl/>
        <w:jc w:val="center"/>
        <w:rPr>
          <w:rFonts w:hint="default" w:ascii="宋体" w:hAnsi="宋体" w:eastAsia="宋体" w:cs="宋体"/>
          <w:b/>
          <w:bCs/>
          <w:color w:val="000000"/>
          <w:kern w:val="0"/>
          <w:sz w:val="21"/>
          <w:szCs w:val="21"/>
          <w:lang w:val="en-US" w:eastAsia="zh-CN"/>
        </w:rPr>
      </w:pPr>
      <w:r>
        <w:rPr>
          <w:rFonts w:hint="eastAsia" w:ascii="宋体" w:hAnsi="宋体" w:cs="宋体"/>
          <w:b/>
          <w:bCs/>
          <w:color w:val="000000"/>
          <w:kern w:val="0"/>
          <w:sz w:val="21"/>
          <w:szCs w:val="21"/>
          <w:lang w:val="en-US" w:eastAsia="zh-CN"/>
        </w:rPr>
        <w:t>1#配电房（新配电房）</w:t>
      </w:r>
    </w:p>
    <w:tbl>
      <w:tblPr>
        <w:tblStyle w:val="8"/>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84"/>
        <w:gridCol w:w="1618"/>
        <w:gridCol w:w="1490"/>
        <w:gridCol w:w="1657"/>
        <w:gridCol w:w="1570"/>
      </w:tblGrid>
      <w:tr w14:paraId="4BBBA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1281" w:type="pct"/>
            <w:noWrap w:val="0"/>
            <w:vAlign w:val="top"/>
          </w:tcPr>
          <w:p w14:paraId="358B66C2">
            <w:pPr>
              <w:widowControl w:val="0"/>
              <w:autoSpaceDE w:val="0"/>
              <w:autoSpaceDN w:val="0"/>
              <w:spacing w:line="360" w:lineRule="auto"/>
              <w:rPr>
                <w:rFonts w:hint="eastAsia" w:ascii="宋体" w:hAnsi="宋体" w:eastAsia="宋体" w:cs="宋体"/>
                <w:b/>
                <w:color w:val="auto"/>
                <w:sz w:val="21"/>
                <w:szCs w:val="21"/>
                <w:lang w:val="zh-CN" w:bidi="zh-CN"/>
              </w:rPr>
            </w:pPr>
            <w:r>
              <w:rPr>
                <w:rFonts w:hint="eastAsia" w:ascii="宋体" w:hAnsi="宋体" w:eastAsia="宋体" w:cs="宋体"/>
                <w:b/>
                <w:color w:val="auto"/>
                <w:sz w:val="21"/>
                <w:szCs w:val="21"/>
                <w:lang w:val="zh-CN" w:bidi="zh-CN"/>
              </w:rPr>
              <w:t>设备名称</w:t>
            </w:r>
            <w:r>
              <w:rPr>
                <w:rFonts w:hint="eastAsia" w:ascii="宋体" w:hAnsi="宋体" w:eastAsia="宋体" w:cs="宋体"/>
                <w:b/>
                <w:color w:val="auto"/>
                <w:sz w:val="21"/>
                <w:szCs w:val="21"/>
                <w:lang w:val="zh-CN" w:bidi="zh-CN"/>
              </w:rPr>
              <w:tab/>
            </w:r>
          </w:p>
        </w:tc>
        <w:tc>
          <w:tcPr>
            <w:tcW w:w="949" w:type="pct"/>
            <w:noWrap w:val="0"/>
            <w:vAlign w:val="top"/>
          </w:tcPr>
          <w:p w14:paraId="69B0FE16">
            <w:pPr>
              <w:widowControl w:val="0"/>
              <w:autoSpaceDE w:val="0"/>
              <w:autoSpaceDN w:val="0"/>
              <w:spacing w:line="360" w:lineRule="auto"/>
              <w:rPr>
                <w:rFonts w:hint="eastAsia" w:ascii="宋体" w:hAnsi="宋体" w:eastAsia="宋体" w:cs="宋体"/>
                <w:b/>
                <w:color w:val="auto"/>
                <w:sz w:val="21"/>
                <w:szCs w:val="21"/>
                <w:lang w:val="zh-CN" w:bidi="zh-CN"/>
              </w:rPr>
            </w:pPr>
            <w:r>
              <w:rPr>
                <w:rFonts w:hint="eastAsia" w:ascii="宋体" w:hAnsi="宋体" w:eastAsia="宋体" w:cs="宋体"/>
                <w:b/>
                <w:color w:val="auto"/>
                <w:sz w:val="21"/>
                <w:szCs w:val="21"/>
                <w:lang w:val="zh-CN" w:bidi="zh-CN"/>
              </w:rPr>
              <w:t>规格</w:t>
            </w:r>
          </w:p>
        </w:tc>
        <w:tc>
          <w:tcPr>
            <w:tcW w:w="874" w:type="pct"/>
            <w:noWrap w:val="0"/>
            <w:vAlign w:val="top"/>
          </w:tcPr>
          <w:p w14:paraId="1A7C2098">
            <w:pPr>
              <w:widowControl w:val="0"/>
              <w:autoSpaceDE w:val="0"/>
              <w:autoSpaceDN w:val="0"/>
              <w:spacing w:line="360" w:lineRule="auto"/>
              <w:rPr>
                <w:rFonts w:hint="eastAsia" w:ascii="宋体" w:hAnsi="宋体" w:eastAsia="宋体" w:cs="宋体"/>
                <w:b/>
                <w:color w:val="auto"/>
                <w:sz w:val="21"/>
                <w:szCs w:val="21"/>
                <w:lang w:val="zh-CN" w:bidi="zh-CN"/>
              </w:rPr>
            </w:pPr>
            <w:r>
              <w:rPr>
                <w:rFonts w:hint="eastAsia" w:ascii="宋体" w:hAnsi="宋体" w:eastAsia="宋体" w:cs="宋体"/>
                <w:b/>
                <w:color w:val="auto"/>
                <w:sz w:val="21"/>
                <w:szCs w:val="21"/>
                <w:lang w:val="zh-CN" w:bidi="zh-CN"/>
              </w:rPr>
              <w:t>单位</w:t>
            </w:r>
          </w:p>
        </w:tc>
        <w:tc>
          <w:tcPr>
            <w:tcW w:w="972" w:type="pct"/>
            <w:noWrap w:val="0"/>
            <w:vAlign w:val="top"/>
          </w:tcPr>
          <w:p w14:paraId="01885A1E">
            <w:pPr>
              <w:widowControl w:val="0"/>
              <w:autoSpaceDE w:val="0"/>
              <w:autoSpaceDN w:val="0"/>
              <w:spacing w:line="360" w:lineRule="auto"/>
              <w:rPr>
                <w:rFonts w:hint="eastAsia" w:ascii="宋体" w:hAnsi="宋体" w:eastAsia="宋体" w:cs="宋体"/>
                <w:b/>
                <w:color w:val="auto"/>
                <w:sz w:val="21"/>
                <w:szCs w:val="21"/>
                <w:lang w:val="zh-CN" w:bidi="zh-CN"/>
              </w:rPr>
            </w:pPr>
            <w:r>
              <w:rPr>
                <w:rFonts w:hint="eastAsia" w:ascii="宋体" w:hAnsi="宋体" w:eastAsia="宋体" w:cs="宋体"/>
                <w:b/>
                <w:color w:val="auto"/>
                <w:sz w:val="21"/>
                <w:szCs w:val="21"/>
                <w:lang w:val="zh-CN" w:bidi="zh-CN"/>
              </w:rPr>
              <w:t>数量</w:t>
            </w:r>
          </w:p>
        </w:tc>
        <w:tc>
          <w:tcPr>
            <w:tcW w:w="921" w:type="pct"/>
            <w:noWrap w:val="0"/>
            <w:vAlign w:val="top"/>
          </w:tcPr>
          <w:p w14:paraId="0FBD9D3C">
            <w:pPr>
              <w:widowControl w:val="0"/>
              <w:autoSpaceDE w:val="0"/>
              <w:autoSpaceDN w:val="0"/>
              <w:spacing w:line="360" w:lineRule="auto"/>
              <w:rPr>
                <w:rFonts w:hint="eastAsia" w:ascii="宋体" w:hAnsi="宋体" w:eastAsia="宋体" w:cs="宋体"/>
                <w:b/>
                <w:color w:val="auto"/>
                <w:sz w:val="21"/>
                <w:szCs w:val="21"/>
                <w:lang w:val="zh-CN" w:bidi="zh-CN"/>
              </w:rPr>
            </w:pPr>
            <w:r>
              <w:rPr>
                <w:rFonts w:hint="eastAsia" w:ascii="宋体" w:hAnsi="宋体" w:eastAsia="宋体" w:cs="宋体"/>
                <w:b/>
                <w:color w:val="auto"/>
                <w:sz w:val="21"/>
                <w:szCs w:val="21"/>
                <w:lang w:val="zh-CN" w:bidi="zh-CN"/>
              </w:rPr>
              <w:t>备注</w:t>
            </w:r>
          </w:p>
        </w:tc>
      </w:tr>
      <w:tr w14:paraId="1208F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281" w:type="pct"/>
            <w:noWrap w:val="0"/>
            <w:vAlign w:val="top"/>
          </w:tcPr>
          <w:p w14:paraId="0AF3EA42">
            <w:pPr>
              <w:widowControl w:val="0"/>
              <w:autoSpaceDE w:val="0"/>
              <w:autoSpaceDN w:val="0"/>
              <w:spacing w:line="360" w:lineRule="auto"/>
              <w:rPr>
                <w:rFonts w:hint="eastAsia" w:ascii="宋体" w:hAnsi="宋体" w:eastAsia="宋体" w:cs="宋体"/>
                <w:color w:val="auto"/>
                <w:sz w:val="21"/>
                <w:szCs w:val="21"/>
                <w:lang w:val="zh-CN" w:bidi="zh-CN"/>
              </w:rPr>
            </w:pPr>
            <w:r>
              <w:rPr>
                <w:rFonts w:hint="eastAsia" w:ascii="宋体" w:hAnsi="宋体" w:eastAsia="宋体" w:cs="宋体"/>
                <w:color w:val="auto"/>
                <w:sz w:val="21"/>
                <w:szCs w:val="21"/>
                <w:lang w:val="zh-CN" w:bidi="zh-CN"/>
              </w:rPr>
              <w:t>高压进线电缆</w:t>
            </w:r>
          </w:p>
        </w:tc>
        <w:tc>
          <w:tcPr>
            <w:tcW w:w="949" w:type="pct"/>
            <w:noWrap w:val="0"/>
            <w:vAlign w:val="top"/>
          </w:tcPr>
          <w:p w14:paraId="4D56A8C6">
            <w:pPr>
              <w:widowControl w:val="0"/>
              <w:autoSpaceDE w:val="0"/>
              <w:autoSpaceDN w:val="0"/>
              <w:spacing w:line="360" w:lineRule="auto"/>
              <w:rPr>
                <w:rFonts w:hint="eastAsia" w:ascii="宋体" w:hAnsi="宋体" w:eastAsia="宋体" w:cs="宋体"/>
                <w:color w:val="auto"/>
                <w:sz w:val="21"/>
                <w:szCs w:val="21"/>
                <w:lang w:val="zh-CN" w:bidi="zh-CN"/>
              </w:rPr>
            </w:pPr>
            <w:r>
              <w:rPr>
                <w:rFonts w:hint="eastAsia" w:ascii="宋体" w:hAnsi="宋体" w:eastAsia="宋体" w:cs="宋体"/>
                <w:color w:val="auto"/>
                <w:sz w:val="21"/>
                <w:szCs w:val="21"/>
                <w:lang w:val="zh-CN" w:bidi="zh-CN"/>
              </w:rPr>
              <w:t>10KV</w:t>
            </w:r>
          </w:p>
        </w:tc>
        <w:tc>
          <w:tcPr>
            <w:tcW w:w="874" w:type="pct"/>
            <w:noWrap w:val="0"/>
            <w:vAlign w:val="top"/>
          </w:tcPr>
          <w:p w14:paraId="669C1A5D">
            <w:pPr>
              <w:widowControl w:val="0"/>
              <w:autoSpaceDE w:val="0"/>
              <w:autoSpaceDN w:val="0"/>
              <w:spacing w:line="360" w:lineRule="auto"/>
              <w:rPr>
                <w:rFonts w:hint="eastAsia" w:ascii="宋体" w:hAnsi="宋体" w:eastAsia="宋体" w:cs="宋体"/>
                <w:color w:val="auto"/>
                <w:sz w:val="21"/>
                <w:szCs w:val="21"/>
                <w:lang w:val="zh-CN" w:bidi="zh-CN"/>
              </w:rPr>
            </w:pPr>
            <w:r>
              <w:rPr>
                <w:rFonts w:hint="eastAsia" w:ascii="宋体" w:hAnsi="宋体" w:eastAsia="宋体" w:cs="宋体"/>
                <w:color w:val="auto"/>
                <w:sz w:val="21"/>
                <w:szCs w:val="21"/>
                <w:lang w:val="zh-CN" w:bidi="zh-CN"/>
              </w:rPr>
              <w:t>回</w:t>
            </w:r>
          </w:p>
        </w:tc>
        <w:tc>
          <w:tcPr>
            <w:tcW w:w="972" w:type="pct"/>
            <w:noWrap w:val="0"/>
            <w:vAlign w:val="top"/>
          </w:tcPr>
          <w:p w14:paraId="0655A182">
            <w:pPr>
              <w:widowControl w:val="0"/>
              <w:autoSpaceDE w:val="0"/>
              <w:autoSpaceDN w:val="0"/>
              <w:spacing w:line="360" w:lineRule="auto"/>
              <w:rPr>
                <w:rFonts w:hint="default" w:ascii="宋体" w:hAnsi="宋体" w:eastAsia="宋体" w:cs="宋体"/>
                <w:color w:val="auto"/>
                <w:sz w:val="21"/>
                <w:szCs w:val="21"/>
                <w:lang w:val="en-US" w:bidi="zh-CN"/>
              </w:rPr>
            </w:pPr>
            <w:r>
              <w:rPr>
                <w:rFonts w:hint="eastAsia" w:ascii="宋体" w:hAnsi="宋体" w:cs="宋体"/>
                <w:color w:val="auto"/>
                <w:sz w:val="21"/>
                <w:szCs w:val="21"/>
                <w:lang w:val="en-US" w:bidi="zh-CN"/>
              </w:rPr>
              <w:t>2</w:t>
            </w:r>
          </w:p>
        </w:tc>
        <w:tc>
          <w:tcPr>
            <w:tcW w:w="921" w:type="pct"/>
            <w:noWrap w:val="0"/>
            <w:vAlign w:val="top"/>
          </w:tcPr>
          <w:p w14:paraId="5DBB3CE6">
            <w:pPr>
              <w:widowControl w:val="0"/>
              <w:autoSpaceDE w:val="0"/>
              <w:autoSpaceDN w:val="0"/>
              <w:spacing w:line="360" w:lineRule="auto"/>
              <w:rPr>
                <w:rFonts w:hint="eastAsia" w:ascii="宋体" w:hAnsi="宋体" w:eastAsia="宋体" w:cs="宋体"/>
                <w:color w:val="auto"/>
                <w:sz w:val="21"/>
                <w:szCs w:val="21"/>
                <w:lang w:val="zh-CN" w:bidi="zh-CN"/>
              </w:rPr>
            </w:pPr>
          </w:p>
        </w:tc>
      </w:tr>
      <w:tr w14:paraId="07DAA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281" w:type="pct"/>
            <w:noWrap w:val="0"/>
            <w:vAlign w:val="top"/>
          </w:tcPr>
          <w:p w14:paraId="7909C2C8">
            <w:pPr>
              <w:widowControl w:val="0"/>
              <w:autoSpaceDE w:val="0"/>
              <w:autoSpaceDN w:val="0"/>
              <w:spacing w:line="360" w:lineRule="auto"/>
              <w:rPr>
                <w:rFonts w:hint="eastAsia" w:ascii="宋体" w:hAnsi="宋体" w:eastAsia="宋体" w:cs="宋体"/>
                <w:color w:val="auto"/>
                <w:sz w:val="21"/>
                <w:szCs w:val="21"/>
                <w:lang w:val="zh-CN" w:bidi="zh-CN"/>
              </w:rPr>
            </w:pPr>
            <w:r>
              <w:rPr>
                <w:rFonts w:hint="eastAsia" w:ascii="宋体" w:hAnsi="宋体" w:eastAsia="宋体" w:cs="宋体"/>
                <w:color w:val="auto"/>
                <w:sz w:val="21"/>
                <w:szCs w:val="21"/>
                <w:lang w:val="zh-CN" w:bidi="zh-CN"/>
              </w:rPr>
              <w:t>高压进线开关柜</w:t>
            </w:r>
          </w:p>
        </w:tc>
        <w:tc>
          <w:tcPr>
            <w:tcW w:w="949" w:type="pct"/>
            <w:noWrap w:val="0"/>
            <w:vAlign w:val="top"/>
          </w:tcPr>
          <w:p w14:paraId="32FFF9DA">
            <w:pPr>
              <w:widowControl w:val="0"/>
              <w:autoSpaceDE w:val="0"/>
              <w:autoSpaceDN w:val="0"/>
              <w:spacing w:line="360" w:lineRule="auto"/>
              <w:rPr>
                <w:rFonts w:hint="eastAsia" w:ascii="宋体" w:hAnsi="宋体" w:eastAsia="宋体" w:cs="宋体"/>
                <w:color w:val="auto"/>
                <w:sz w:val="21"/>
                <w:szCs w:val="21"/>
                <w:lang w:val="zh-CN" w:bidi="zh-CN"/>
              </w:rPr>
            </w:pPr>
            <w:r>
              <w:rPr>
                <w:rFonts w:hint="eastAsia" w:ascii="宋体" w:hAnsi="宋体" w:cs="宋体"/>
                <w:color w:val="auto"/>
                <w:sz w:val="21"/>
                <w:szCs w:val="21"/>
                <w:lang w:val="en-US" w:bidi="zh-CN"/>
              </w:rPr>
              <w:t>/</w:t>
            </w:r>
          </w:p>
        </w:tc>
        <w:tc>
          <w:tcPr>
            <w:tcW w:w="874" w:type="pct"/>
            <w:noWrap w:val="0"/>
            <w:vAlign w:val="top"/>
          </w:tcPr>
          <w:p w14:paraId="6D2FF7A2">
            <w:pPr>
              <w:widowControl w:val="0"/>
              <w:autoSpaceDE w:val="0"/>
              <w:autoSpaceDN w:val="0"/>
              <w:spacing w:line="360" w:lineRule="auto"/>
              <w:rPr>
                <w:rFonts w:hint="eastAsia" w:ascii="宋体" w:hAnsi="宋体" w:eastAsia="宋体" w:cs="宋体"/>
                <w:color w:val="auto"/>
                <w:sz w:val="21"/>
                <w:szCs w:val="21"/>
                <w:lang w:val="zh-CN" w:bidi="zh-CN"/>
              </w:rPr>
            </w:pPr>
            <w:r>
              <w:rPr>
                <w:rFonts w:hint="eastAsia" w:ascii="宋体" w:hAnsi="宋体" w:eastAsia="宋体" w:cs="宋体"/>
                <w:color w:val="auto"/>
                <w:sz w:val="21"/>
                <w:szCs w:val="21"/>
                <w:lang w:val="zh-CN" w:bidi="zh-CN"/>
              </w:rPr>
              <w:t>组</w:t>
            </w:r>
          </w:p>
        </w:tc>
        <w:tc>
          <w:tcPr>
            <w:tcW w:w="972" w:type="pct"/>
            <w:noWrap w:val="0"/>
            <w:vAlign w:val="top"/>
          </w:tcPr>
          <w:p w14:paraId="3DC0505F">
            <w:pPr>
              <w:widowControl w:val="0"/>
              <w:autoSpaceDE w:val="0"/>
              <w:autoSpaceDN w:val="0"/>
              <w:spacing w:line="360" w:lineRule="auto"/>
              <w:rPr>
                <w:rFonts w:hint="default" w:ascii="宋体" w:hAnsi="宋体" w:eastAsia="宋体" w:cs="宋体"/>
                <w:color w:val="auto"/>
                <w:sz w:val="21"/>
                <w:szCs w:val="21"/>
                <w:lang w:val="en-US" w:bidi="zh-CN"/>
              </w:rPr>
            </w:pPr>
            <w:r>
              <w:rPr>
                <w:rFonts w:hint="eastAsia" w:ascii="宋体" w:hAnsi="宋体" w:cs="宋体"/>
                <w:color w:val="auto"/>
                <w:sz w:val="21"/>
                <w:szCs w:val="21"/>
                <w:lang w:val="en-US" w:bidi="zh-CN"/>
              </w:rPr>
              <w:t>12</w:t>
            </w:r>
          </w:p>
        </w:tc>
        <w:tc>
          <w:tcPr>
            <w:tcW w:w="921" w:type="pct"/>
            <w:noWrap w:val="0"/>
            <w:vAlign w:val="top"/>
          </w:tcPr>
          <w:p w14:paraId="79C277E1">
            <w:pPr>
              <w:widowControl w:val="0"/>
              <w:autoSpaceDE w:val="0"/>
              <w:autoSpaceDN w:val="0"/>
              <w:spacing w:line="360" w:lineRule="auto"/>
              <w:rPr>
                <w:rFonts w:hint="eastAsia" w:ascii="宋体" w:hAnsi="宋体" w:eastAsia="宋体" w:cs="宋体"/>
                <w:color w:val="auto"/>
                <w:sz w:val="21"/>
                <w:szCs w:val="21"/>
                <w:lang w:val="zh-CN" w:bidi="zh-CN"/>
              </w:rPr>
            </w:pPr>
          </w:p>
        </w:tc>
      </w:tr>
      <w:tr w14:paraId="09774E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281" w:type="pct"/>
            <w:noWrap w:val="0"/>
            <w:vAlign w:val="top"/>
          </w:tcPr>
          <w:p w14:paraId="4A6F7305">
            <w:pPr>
              <w:widowControl w:val="0"/>
              <w:autoSpaceDE w:val="0"/>
              <w:autoSpaceDN w:val="0"/>
              <w:spacing w:line="360" w:lineRule="auto"/>
              <w:rPr>
                <w:rFonts w:hint="eastAsia" w:ascii="宋体" w:hAnsi="宋体" w:eastAsia="宋体" w:cs="宋体"/>
                <w:color w:val="auto"/>
                <w:sz w:val="21"/>
                <w:szCs w:val="21"/>
                <w:lang w:val="zh-CN" w:bidi="zh-CN"/>
              </w:rPr>
            </w:pPr>
            <w:r>
              <w:rPr>
                <w:rFonts w:hint="eastAsia" w:ascii="宋体" w:hAnsi="宋体" w:eastAsia="宋体" w:cs="宋体"/>
                <w:color w:val="auto"/>
                <w:sz w:val="21"/>
                <w:szCs w:val="21"/>
                <w:lang w:val="zh-CN" w:bidi="zh-CN"/>
              </w:rPr>
              <w:t>变压器</w:t>
            </w:r>
          </w:p>
        </w:tc>
        <w:tc>
          <w:tcPr>
            <w:tcW w:w="949" w:type="pct"/>
            <w:noWrap w:val="0"/>
            <w:vAlign w:val="top"/>
          </w:tcPr>
          <w:p w14:paraId="3B097CAD">
            <w:pPr>
              <w:widowControl w:val="0"/>
              <w:autoSpaceDE w:val="0"/>
              <w:autoSpaceDN w:val="0"/>
              <w:spacing w:line="360" w:lineRule="auto"/>
              <w:rPr>
                <w:rFonts w:hint="eastAsia" w:ascii="宋体" w:hAnsi="宋体" w:eastAsia="宋体" w:cs="宋体"/>
                <w:color w:val="auto"/>
                <w:sz w:val="21"/>
                <w:szCs w:val="21"/>
                <w:lang w:val="zh-CN" w:bidi="zh-CN"/>
              </w:rPr>
            </w:pPr>
            <w:r>
              <w:rPr>
                <w:rFonts w:hint="eastAsia" w:ascii="宋体" w:hAnsi="宋体" w:cs="宋体"/>
                <w:color w:val="auto"/>
                <w:sz w:val="21"/>
                <w:szCs w:val="21"/>
                <w:lang w:val="en-US" w:bidi="zh-CN"/>
              </w:rPr>
              <w:t>20</w:t>
            </w:r>
            <w:r>
              <w:rPr>
                <w:rFonts w:hint="eastAsia" w:ascii="宋体" w:hAnsi="宋体" w:eastAsia="宋体" w:cs="宋体"/>
                <w:color w:val="auto"/>
                <w:sz w:val="21"/>
                <w:szCs w:val="21"/>
                <w:lang w:val="zh-CN" w:bidi="zh-CN"/>
              </w:rPr>
              <w:t>00KVA</w:t>
            </w:r>
          </w:p>
        </w:tc>
        <w:tc>
          <w:tcPr>
            <w:tcW w:w="874" w:type="pct"/>
            <w:noWrap w:val="0"/>
            <w:vAlign w:val="top"/>
          </w:tcPr>
          <w:p w14:paraId="639C2677">
            <w:pPr>
              <w:widowControl w:val="0"/>
              <w:autoSpaceDE w:val="0"/>
              <w:autoSpaceDN w:val="0"/>
              <w:spacing w:line="360" w:lineRule="auto"/>
              <w:rPr>
                <w:rFonts w:hint="eastAsia" w:ascii="宋体" w:hAnsi="宋体" w:eastAsia="宋体" w:cs="宋体"/>
                <w:color w:val="auto"/>
                <w:sz w:val="21"/>
                <w:szCs w:val="21"/>
                <w:lang w:val="zh-CN" w:bidi="zh-CN"/>
              </w:rPr>
            </w:pPr>
            <w:r>
              <w:rPr>
                <w:rFonts w:hint="eastAsia" w:ascii="宋体" w:hAnsi="宋体" w:eastAsia="宋体" w:cs="宋体"/>
                <w:color w:val="auto"/>
                <w:sz w:val="21"/>
                <w:szCs w:val="21"/>
                <w:lang w:val="zh-CN" w:bidi="zh-CN"/>
              </w:rPr>
              <w:t>台</w:t>
            </w:r>
          </w:p>
        </w:tc>
        <w:tc>
          <w:tcPr>
            <w:tcW w:w="972" w:type="pct"/>
            <w:noWrap w:val="0"/>
            <w:vAlign w:val="top"/>
          </w:tcPr>
          <w:p w14:paraId="47488CAB">
            <w:pPr>
              <w:widowControl w:val="0"/>
              <w:autoSpaceDE w:val="0"/>
              <w:autoSpaceDN w:val="0"/>
              <w:spacing w:line="360" w:lineRule="auto"/>
              <w:rPr>
                <w:rFonts w:hint="default" w:ascii="宋体" w:hAnsi="宋体" w:eastAsia="宋体" w:cs="宋体"/>
                <w:color w:val="auto"/>
                <w:sz w:val="21"/>
                <w:szCs w:val="21"/>
                <w:lang w:val="en-US" w:bidi="zh-CN"/>
              </w:rPr>
            </w:pPr>
            <w:r>
              <w:rPr>
                <w:rFonts w:hint="eastAsia" w:ascii="宋体" w:hAnsi="宋体" w:cs="宋体"/>
                <w:color w:val="auto"/>
                <w:sz w:val="21"/>
                <w:szCs w:val="21"/>
                <w:lang w:val="en-US" w:bidi="zh-CN"/>
              </w:rPr>
              <w:t>2</w:t>
            </w:r>
          </w:p>
        </w:tc>
        <w:tc>
          <w:tcPr>
            <w:tcW w:w="921" w:type="pct"/>
            <w:noWrap w:val="0"/>
            <w:vAlign w:val="top"/>
          </w:tcPr>
          <w:p w14:paraId="2F086252">
            <w:pPr>
              <w:widowControl w:val="0"/>
              <w:autoSpaceDE w:val="0"/>
              <w:autoSpaceDN w:val="0"/>
              <w:spacing w:line="360" w:lineRule="auto"/>
              <w:rPr>
                <w:rFonts w:hint="eastAsia" w:ascii="宋体" w:hAnsi="宋体" w:eastAsia="宋体" w:cs="宋体"/>
                <w:color w:val="auto"/>
                <w:sz w:val="21"/>
                <w:szCs w:val="21"/>
                <w:lang w:val="zh-CN" w:bidi="zh-CN"/>
              </w:rPr>
            </w:pPr>
          </w:p>
        </w:tc>
      </w:tr>
      <w:tr w14:paraId="655B8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281" w:type="pct"/>
            <w:noWrap w:val="0"/>
            <w:vAlign w:val="top"/>
          </w:tcPr>
          <w:p w14:paraId="19191B90">
            <w:pPr>
              <w:widowControl w:val="0"/>
              <w:autoSpaceDE w:val="0"/>
              <w:autoSpaceDN w:val="0"/>
              <w:spacing w:line="360" w:lineRule="auto"/>
              <w:rPr>
                <w:rFonts w:hint="eastAsia" w:ascii="宋体" w:hAnsi="宋体" w:eastAsia="宋体" w:cs="宋体"/>
                <w:color w:val="auto"/>
                <w:sz w:val="21"/>
                <w:szCs w:val="21"/>
                <w:lang w:val="zh-CN" w:bidi="zh-CN"/>
              </w:rPr>
            </w:pPr>
            <w:r>
              <w:rPr>
                <w:rFonts w:hint="eastAsia" w:ascii="宋体" w:hAnsi="宋体" w:eastAsia="宋体" w:cs="宋体"/>
                <w:color w:val="auto"/>
                <w:sz w:val="21"/>
                <w:szCs w:val="21"/>
                <w:lang w:val="zh-CN" w:bidi="zh-CN"/>
              </w:rPr>
              <w:t>直流屏</w:t>
            </w:r>
          </w:p>
        </w:tc>
        <w:tc>
          <w:tcPr>
            <w:tcW w:w="949" w:type="pct"/>
            <w:noWrap w:val="0"/>
            <w:vAlign w:val="top"/>
          </w:tcPr>
          <w:p w14:paraId="38773666">
            <w:pPr>
              <w:widowControl w:val="0"/>
              <w:autoSpaceDE w:val="0"/>
              <w:autoSpaceDN w:val="0"/>
              <w:spacing w:line="360" w:lineRule="auto"/>
              <w:rPr>
                <w:rFonts w:hint="default" w:ascii="宋体" w:hAnsi="宋体" w:eastAsia="宋体" w:cs="宋体"/>
                <w:color w:val="auto"/>
                <w:sz w:val="21"/>
                <w:szCs w:val="21"/>
                <w:lang w:val="en-US" w:bidi="zh-CN"/>
              </w:rPr>
            </w:pPr>
            <w:r>
              <w:rPr>
                <w:rFonts w:hint="eastAsia" w:ascii="宋体" w:hAnsi="宋体" w:cs="宋体"/>
                <w:color w:val="auto"/>
                <w:sz w:val="21"/>
                <w:szCs w:val="21"/>
                <w:lang w:val="en-US" w:bidi="zh-CN"/>
              </w:rPr>
              <w:t>/</w:t>
            </w:r>
          </w:p>
        </w:tc>
        <w:tc>
          <w:tcPr>
            <w:tcW w:w="874" w:type="pct"/>
            <w:noWrap w:val="0"/>
            <w:vAlign w:val="top"/>
          </w:tcPr>
          <w:p w14:paraId="279C6F81">
            <w:pPr>
              <w:widowControl w:val="0"/>
              <w:autoSpaceDE w:val="0"/>
              <w:autoSpaceDN w:val="0"/>
              <w:spacing w:line="360" w:lineRule="auto"/>
              <w:rPr>
                <w:rFonts w:hint="eastAsia" w:ascii="宋体" w:hAnsi="宋体" w:eastAsia="宋体" w:cs="宋体"/>
                <w:color w:val="auto"/>
                <w:sz w:val="21"/>
                <w:szCs w:val="21"/>
                <w:lang w:val="zh-CN" w:bidi="zh-CN"/>
              </w:rPr>
            </w:pPr>
            <w:r>
              <w:rPr>
                <w:rFonts w:hint="eastAsia" w:ascii="宋体" w:hAnsi="宋体" w:eastAsia="宋体" w:cs="宋体"/>
                <w:color w:val="auto"/>
                <w:sz w:val="21"/>
                <w:szCs w:val="21"/>
                <w:lang w:val="zh-CN" w:bidi="zh-CN"/>
              </w:rPr>
              <w:t>组</w:t>
            </w:r>
          </w:p>
        </w:tc>
        <w:tc>
          <w:tcPr>
            <w:tcW w:w="972" w:type="pct"/>
            <w:noWrap w:val="0"/>
            <w:vAlign w:val="top"/>
          </w:tcPr>
          <w:p w14:paraId="36066E80">
            <w:pPr>
              <w:widowControl w:val="0"/>
              <w:autoSpaceDE w:val="0"/>
              <w:autoSpaceDN w:val="0"/>
              <w:spacing w:line="360" w:lineRule="auto"/>
              <w:rPr>
                <w:rFonts w:hint="default" w:ascii="宋体" w:hAnsi="宋体" w:eastAsia="宋体" w:cs="宋体"/>
                <w:color w:val="auto"/>
                <w:sz w:val="21"/>
                <w:szCs w:val="21"/>
                <w:lang w:val="en-US" w:bidi="zh-CN"/>
              </w:rPr>
            </w:pPr>
            <w:r>
              <w:rPr>
                <w:rFonts w:hint="eastAsia" w:ascii="宋体" w:hAnsi="宋体" w:cs="宋体"/>
                <w:color w:val="auto"/>
                <w:sz w:val="21"/>
                <w:szCs w:val="21"/>
                <w:lang w:val="en-US" w:bidi="zh-CN"/>
              </w:rPr>
              <w:t>1</w:t>
            </w:r>
          </w:p>
        </w:tc>
        <w:tc>
          <w:tcPr>
            <w:tcW w:w="921" w:type="pct"/>
            <w:noWrap w:val="0"/>
            <w:vAlign w:val="top"/>
          </w:tcPr>
          <w:p w14:paraId="6E9CEA9F">
            <w:pPr>
              <w:widowControl w:val="0"/>
              <w:autoSpaceDE w:val="0"/>
              <w:autoSpaceDN w:val="0"/>
              <w:spacing w:line="360" w:lineRule="auto"/>
              <w:rPr>
                <w:rFonts w:hint="eastAsia" w:ascii="宋体" w:hAnsi="宋体" w:eastAsia="宋体" w:cs="宋体"/>
                <w:color w:val="auto"/>
                <w:sz w:val="21"/>
                <w:szCs w:val="21"/>
                <w:lang w:val="zh-CN" w:bidi="zh-CN"/>
              </w:rPr>
            </w:pPr>
          </w:p>
        </w:tc>
      </w:tr>
      <w:tr w14:paraId="0E3BC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281" w:type="pct"/>
            <w:noWrap w:val="0"/>
            <w:vAlign w:val="top"/>
          </w:tcPr>
          <w:p w14:paraId="414700C1">
            <w:pPr>
              <w:widowControl w:val="0"/>
              <w:autoSpaceDE w:val="0"/>
              <w:autoSpaceDN w:val="0"/>
              <w:spacing w:line="360" w:lineRule="auto"/>
              <w:rPr>
                <w:rFonts w:hint="eastAsia" w:ascii="宋体" w:hAnsi="宋体" w:eastAsia="宋体" w:cs="宋体"/>
                <w:color w:val="auto"/>
                <w:sz w:val="21"/>
                <w:szCs w:val="21"/>
                <w:lang w:val="zh-CN" w:bidi="zh-CN"/>
              </w:rPr>
            </w:pPr>
            <w:r>
              <w:rPr>
                <w:rFonts w:hint="eastAsia" w:ascii="宋体" w:hAnsi="宋体" w:eastAsia="宋体" w:cs="宋体"/>
                <w:color w:val="auto"/>
                <w:sz w:val="21"/>
                <w:szCs w:val="21"/>
                <w:lang w:val="zh-CN" w:bidi="zh-CN"/>
              </w:rPr>
              <w:t>低压配电柜</w:t>
            </w:r>
          </w:p>
        </w:tc>
        <w:tc>
          <w:tcPr>
            <w:tcW w:w="949" w:type="pct"/>
            <w:noWrap w:val="0"/>
            <w:vAlign w:val="top"/>
          </w:tcPr>
          <w:p w14:paraId="7040739D">
            <w:pPr>
              <w:widowControl w:val="0"/>
              <w:autoSpaceDE w:val="0"/>
              <w:autoSpaceDN w:val="0"/>
              <w:spacing w:line="360" w:lineRule="auto"/>
              <w:rPr>
                <w:rFonts w:hint="eastAsia" w:ascii="宋体" w:hAnsi="宋体" w:eastAsia="宋体" w:cs="宋体"/>
                <w:color w:val="auto"/>
                <w:sz w:val="21"/>
                <w:szCs w:val="21"/>
                <w:lang w:val="zh-CN" w:bidi="zh-CN"/>
              </w:rPr>
            </w:pPr>
            <w:r>
              <w:rPr>
                <w:rFonts w:hint="eastAsia" w:ascii="宋体" w:hAnsi="宋体" w:cs="宋体"/>
                <w:color w:val="auto"/>
                <w:sz w:val="21"/>
                <w:szCs w:val="21"/>
                <w:lang w:val="en-US" w:bidi="zh-CN"/>
              </w:rPr>
              <w:t>/</w:t>
            </w:r>
          </w:p>
        </w:tc>
        <w:tc>
          <w:tcPr>
            <w:tcW w:w="874" w:type="pct"/>
            <w:noWrap w:val="0"/>
            <w:vAlign w:val="top"/>
          </w:tcPr>
          <w:p w14:paraId="12EC25FE">
            <w:pPr>
              <w:widowControl w:val="0"/>
              <w:autoSpaceDE w:val="0"/>
              <w:autoSpaceDN w:val="0"/>
              <w:spacing w:line="360" w:lineRule="auto"/>
              <w:rPr>
                <w:rFonts w:hint="eastAsia" w:ascii="宋体" w:hAnsi="宋体" w:eastAsia="宋体" w:cs="宋体"/>
                <w:color w:val="auto"/>
                <w:sz w:val="21"/>
                <w:szCs w:val="21"/>
                <w:lang w:val="zh-CN" w:bidi="zh-CN"/>
              </w:rPr>
            </w:pPr>
            <w:r>
              <w:rPr>
                <w:rFonts w:hint="eastAsia" w:ascii="宋体" w:hAnsi="宋体" w:eastAsia="宋体" w:cs="宋体"/>
                <w:color w:val="auto"/>
                <w:sz w:val="21"/>
                <w:szCs w:val="21"/>
                <w:lang w:val="zh-CN" w:bidi="zh-CN"/>
              </w:rPr>
              <w:t>组</w:t>
            </w:r>
          </w:p>
        </w:tc>
        <w:tc>
          <w:tcPr>
            <w:tcW w:w="972" w:type="pct"/>
            <w:noWrap w:val="0"/>
            <w:vAlign w:val="top"/>
          </w:tcPr>
          <w:p w14:paraId="50B4C8DF">
            <w:pPr>
              <w:widowControl w:val="0"/>
              <w:autoSpaceDE w:val="0"/>
              <w:autoSpaceDN w:val="0"/>
              <w:spacing w:line="360" w:lineRule="auto"/>
              <w:rPr>
                <w:rFonts w:hint="default" w:ascii="宋体" w:hAnsi="宋体" w:eastAsia="宋体" w:cs="宋体"/>
                <w:color w:val="auto"/>
                <w:sz w:val="21"/>
                <w:szCs w:val="21"/>
                <w:lang w:val="en-US" w:bidi="zh-CN"/>
              </w:rPr>
            </w:pPr>
            <w:r>
              <w:rPr>
                <w:rFonts w:hint="eastAsia" w:ascii="宋体" w:hAnsi="宋体" w:cs="宋体"/>
                <w:color w:val="auto"/>
                <w:sz w:val="21"/>
                <w:szCs w:val="21"/>
                <w:lang w:val="en-US" w:bidi="zh-CN"/>
              </w:rPr>
              <w:t>19</w:t>
            </w:r>
          </w:p>
        </w:tc>
        <w:tc>
          <w:tcPr>
            <w:tcW w:w="921" w:type="pct"/>
            <w:noWrap w:val="0"/>
            <w:vAlign w:val="top"/>
          </w:tcPr>
          <w:p w14:paraId="64AB4B10">
            <w:pPr>
              <w:widowControl w:val="0"/>
              <w:autoSpaceDE w:val="0"/>
              <w:autoSpaceDN w:val="0"/>
              <w:spacing w:line="360" w:lineRule="auto"/>
              <w:rPr>
                <w:rFonts w:hint="eastAsia" w:ascii="宋体" w:hAnsi="宋体" w:eastAsia="宋体" w:cs="宋体"/>
                <w:color w:val="auto"/>
                <w:sz w:val="21"/>
                <w:szCs w:val="21"/>
                <w:lang w:val="zh-CN" w:bidi="zh-CN"/>
              </w:rPr>
            </w:pPr>
          </w:p>
        </w:tc>
      </w:tr>
    </w:tbl>
    <w:p w14:paraId="431165FD">
      <w:pPr>
        <w:widowControl/>
        <w:jc w:val="center"/>
        <w:rPr>
          <w:rFonts w:hint="eastAsia" w:ascii="宋体" w:hAnsi="宋体" w:eastAsia="宋体" w:cs="宋体"/>
          <w:color w:val="000000"/>
          <w:kern w:val="0"/>
          <w:sz w:val="24"/>
          <w:szCs w:val="24"/>
          <w:lang w:val="en-US" w:eastAsia="zh-CN"/>
        </w:rPr>
      </w:pPr>
    </w:p>
    <w:p w14:paraId="0DE2BF06">
      <w:pPr>
        <w:widowControl/>
        <w:jc w:val="center"/>
        <w:rPr>
          <w:rFonts w:hint="default" w:ascii="宋体" w:hAnsi="宋体" w:eastAsia="宋体" w:cs="宋体"/>
          <w:b/>
          <w:bCs/>
          <w:color w:val="000000"/>
          <w:kern w:val="0"/>
          <w:sz w:val="21"/>
          <w:szCs w:val="21"/>
          <w:lang w:val="en-US" w:eastAsia="zh-CN"/>
        </w:rPr>
      </w:pPr>
      <w:r>
        <w:rPr>
          <w:rFonts w:hint="eastAsia" w:ascii="宋体" w:hAnsi="宋体" w:cs="宋体"/>
          <w:b/>
          <w:bCs/>
          <w:color w:val="000000"/>
          <w:kern w:val="0"/>
          <w:sz w:val="21"/>
          <w:szCs w:val="21"/>
          <w:lang w:val="en-US" w:eastAsia="zh-CN"/>
        </w:rPr>
        <w:t>2#配电房（东配电房）</w:t>
      </w:r>
    </w:p>
    <w:tbl>
      <w:tblPr>
        <w:tblStyle w:val="8"/>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84"/>
        <w:gridCol w:w="1618"/>
        <w:gridCol w:w="1490"/>
        <w:gridCol w:w="1657"/>
        <w:gridCol w:w="1570"/>
      </w:tblGrid>
      <w:tr w14:paraId="49B5D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1281" w:type="pct"/>
            <w:noWrap w:val="0"/>
            <w:vAlign w:val="top"/>
          </w:tcPr>
          <w:p w14:paraId="1E061AC7">
            <w:pPr>
              <w:widowControl w:val="0"/>
              <w:autoSpaceDE w:val="0"/>
              <w:autoSpaceDN w:val="0"/>
              <w:spacing w:line="360" w:lineRule="auto"/>
              <w:rPr>
                <w:rFonts w:hint="eastAsia" w:ascii="宋体" w:hAnsi="宋体" w:eastAsia="宋体" w:cs="宋体"/>
                <w:b/>
                <w:color w:val="auto"/>
                <w:sz w:val="21"/>
                <w:szCs w:val="21"/>
                <w:lang w:val="zh-CN" w:bidi="zh-CN"/>
              </w:rPr>
            </w:pPr>
            <w:r>
              <w:rPr>
                <w:rFonts w:hint="eastAsia" w:ascii="宋体" w:hAnsi="宋体" w:eastAsia="宋体" w:cs="宋体"/>
                <w:b/>
                <w:color w:val="auto"/>
                <w:sz w:val="21"/>
                <w:szCs w:val="21"/>
                <w:lang w:val="zh-CN" w:bidi="zh-CN"/>
              </w:rPr>
              <w:t>设备名称</w:t>
            </w:r>
            <w:r>
              <w:rPr>
                <w:rFonts w:hint="eastAsia" w:ascii="宋体" w:hAnsi="宋体" w:eastAsia="宋体" w:cs="宋体"/>
                <w:b/>
                <w:color w:val="auto"/>
                <w:sz w:val="21"/>
                <w:szCs w:val="21"/>
                <w:lang w:val="zh-CN" w:bidi="zh-CN"/>
              </w:rPr>
              <w:tab/>
            </w:r>
          </w:p>
        </w:tc>
        <w:tc>
          <w:tcPr>
            <w:tcW w:w="949" w:type="pct"/>
            <w:noWrap w:val="0"/>
            <w:vAlign w:val="top"/>
          </w:tcPr>
          <w:p w14:paraId="1592112B">
            <w:pPr>
              <w:widowControl w:val="0"/>
              <w:autoSpaceDE w:val="0"/>
              <w:autoSpaceDN w:val="0"/>
              <w:spacing w:line="360" w:lineRule="auto"/>
              <w:rPr>
                <w:rFonts w:hint="eastAsia" w:ascii="宋体" w:hAnsi="宋体" w:eastAsia="宋体" w:cs="宋体"/>
                <w:b/>
                <w:color w:val="auto"/>
                <w:sz w:val="21"/>
                <w:szCs w:val="21"/>
                <w:lang w:val="zh-CN" w:bidi="zh-CN"/>
              </w:rPr>
            </w:pPr>
            <w:r>
              <w:rPr>
                <w:rFonts w:hint="eastAsia" w:ascii="宋体" w:hAnsi="宋体" w:eastAsia="宋体" w:cs="宋体"/>
                <w:b/>
                <w:color w:val="auto"/>
                <w:sz w:val="21"/>
                <w:szCs w:val="21"/>
                <w:lang w:val="zh-CN" w:bidi="zh-CN"/>
              </w:rPr>
              <w:t>规格</w:t>
            </w:r>
          </w:p>
        </w:tc>
        <w:tc>
          <w:tcPr>
            <w:tcW w:w="874" w:type="pct"/>
            <w:noWrap w:val="0"/>
            <w:vAlign w:val="top"/>
          </w:tcPr>
          <w:p w14:paraId="1DB19394">
            <w:pPr>
              <w:widowControl w:val="0"/>
              <w:autoSpaceDE w:val="0"/>
              <w:autoSpaceDN w:val="0"/>
              <w:spacing w:line="360" w:lineRule="auto"/>
              <w:rPr>
                <w:rFonts w:hint="eastAsia" w:ascii="宋体" w:hAnsi="宋体" w:eastAsia="宋体" w:cs="宋体"/>
                <w:b/>
                <w:color w:val="auto"/>
                <w:sz w:val="21"/>
                <w:szCs w:val="21"/>
                <w:lang w:val="zh-CN" w:bidi="zh-CN"/>
              </w:rPr>
            </w:pPr>
            <w:r>
              <w:rPr>
                <w:rFonts w:hint="eastAsia" w:ascii="宋体" w:hAnsi="宋体" w:eastAsia="宋体" w:cs="宋体"/>
                <w:b/>
                <w:color w:val="auto"/>
                <w:sz w:val="21"/>
                <w:szCs w:val="21"/>
                <w:lang w:val="zh-CN" w:bidi="zh-CN"/>
              </w:rPr>
              <w:t>单位</w:t>
            </w:r>
          </w:p>
        </w:tc>
        <w:tc>
          <w:tcPr>
            <w:tcW w:w="972" w:type="pct"/>
            <w:noWrap w:val="0"/>
            <w:vAlign w:val="top"/>
          </w:tcPr>
          <w:p w14:paraId="6AEFF113">
            <w:pPr>
              <w:widowControl w:val="0"/>
              <w:autoSpaceDE w:val="0"/>
              <w:autoSpaceDN w:val="0"/>
              <w:spacing w:line="360" w:lineRule="auto"/>
              <w:rPr>
                <w:rFonts w:hint="eastAsia" w:ascii="宋体" w:hAnsi="宋体" w:eastAsia="宋体" w:cs="宋体"/>
                <w:b/>
                <w:color w:val="auto"/>
                <w:sz w:val="21"/>
                <w:szCs w:val="21"/>
                <w:lang w:val="zh-CN" w:bidi="zh-CN"/>
              </w:rPr>
            </w:pPr>
            <w:r>
              <w:rPr>
                <w:rFonts w:hint="eastAsia" w:ascii="宋体" w:hAnsi="宋体" w:eastAsia="宋体" w:cs="宋体"/>
                <w:b/>
                <w:color w:val="auto"/>
                <w:sz w:val="21"/>
                <w:szCs w:val="21"/>
                <w:lang w:val="zh-CN" w:bidi="zh-CN"/>
              </w:rPr>
              <w:t>数量</w:t>
            </w:r>
          </w:p>
        </w:tc>
        <w:tc>
          <w:tcPr>
            <w:tcW w:w="921" w:type="pct"/>
            <w:noWrap w:val="0"/>
            <w:vAlign w:val="top"/>
          </w:tcPr>
          <w:p w14:paraId="5E67B2CD">
            <w:pPr>
              <w:widowControl w:val="0"/>
              <w:autoSpaceDE w:val="0"/>
              <w:autoSpaceDN w:val="0"/>
              <w:spacing w:line="360" w:lineRule="auto"/>
              <w:rPr>
                <w:rFonts w:hint="eastAsia" w:ascii="宋体" w:hAnsi="宋体" w:eastAsia="宋体" w:cs="宋体"/>
                <w:b/>
                <w:color w:val="auto"/>
                <w:sz w:val="21"/>
                <w:szCs w:val="21"/>
                <w:lang w:val="zh-CN" w:bidi="zh-CN"/>
              </w:rPr>
            </w:pPr>
            <w:r>
              <w:rPr>
                <w:rFonts w:hint="eastAsia" w:ascii="宋体" w:hAnsi="宋体" w:eastAsia="宋体" w:cs="宋体"/>
                <w:b/>
                <w:color w:val="auto"/>
                <w:sz w:val="21"/>
                <w:szCs w:val="21"/>
                <w:lang w:val="zh-CN" w:bidi="zh-CN"/>
              </w:rPr>
              <w:t>备注</w:t>
            </w:r>
          </w:p>
        </w:tc>
      </w:tr>
      <w:tr w14:paraId="663CB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281" w:type="pct"/>
            <w:noWrap w:val="0"/>
            <w:vAlign w:val="top"/>
          </w:tcPr>
          <w:p w14:paraId="4D8A48EB">
            <w:pPr>
              <w:widowControl w:val="0"/>
              <w:autoSpaceDE w:val="0"/>
              <w:autoSpaceDN w:val="0"/>
              <w:spacing w:line="360" w:lineRule="auto"/>
              <w:rPr>
                <w:rFonts w:hint="eastAsia" w:ascii="宋体" w:hAnsi="宋体" w:eastAsia="宋体" w:cs="宋体"/>
                <w:color w:val="auto"/>
                <w:sz w:val="21"/>
                <w:szCs w:val="21"/>
                <w:lang w:val="zh-CN" w:bidi="zh-CN"/>
              </w:rPr>
            </w:pPr>
            <w:r>
              <w:rPr>
                <w:rFonts w:hint="eastAsia" w:ascii="宋体" w:hAnsi="宋体" w:eastAsia="宋体" w:cs="宋体"/>
                <w:color w:val="auto"/>
                <w:sz w:val="21"/>
                <w:szCs w:val="21"/>
                <w:lang w:val="zh-CN" w:bidi="zh-CN"/>
              </w:rPr>
              <w:t>高压进线电缆</w:t>
            </w:r>
          </w:p>
        </w:tc>
        <w:tc>
          <w:tcPr>
            <w:tcW w:w="949" w:type="pct"/>
            <w:noWrap w:val="0"/>
            <w:vAlign w:val="top"/>
          </w:tcPr>
          <w:p w14:paraId="17B4E901">
            <w:pPr>
              <w:widowControl w:val="0"/>
              <w:autoSpaceDE w:val="0"/>
              <w:autoSpaceDN w:val="0"/>
              <w:spacing w:line="360" w:lineRule="auto"/>
              <w:rPr>
                <w:rFonts w:hint="eastAsia" w:ascii="宋体" w:hAnsi="宋体" w:eastAsia="宋体" w:cs="宋体"/>
                <w:color w:val="auto"/>
                <w:sz w:val="21"/>
                <w:szCs w:val="21"/>
                <w:lang w:val="zh-CN" w:bidi="zh-CN"/>
              </w:rPr>
            </w:pPr>
            <w:r>
              <w:rPr>
                <w:rFonts w:hint="eastAsia" w:ascii="宋体" w:hAnsi="宋体" w:eastAsia="宋体" w:cs="宋体"/>
                <w:color w:val="auto"/>
                <w:sz w:val="21"/>
                <w:szCs w:val="21"/>
                <w:lang w:val="zh-CN" w:bidi="zh-CN"/>
              </w:rPr>
              <w:t>10KV</w:t>
            </w:r>
          </w:p>
        </w:tc>
        <w:tc>
          <w:tcPr>
            <w:tcW w:w="874" w:type="pct"/>
            <w:noWrap w:val="0"/>
            <w:vAlign w:val="top"/>
          </w:tcPr>
          <w:p w14:paraId="4631E0D7">
            <w:pPr>
              <w:widowControl w:val="0"/>
              <w:autoSpaceDE w:val="0"/>
              <w:autoSpaceDN w:val="0"/>
              <w:spacing w:line="360" w:lineRule="auto"/>
              <w:rPr>
                <w:rFonts w:hint="eastAsia" w:ascii="宋体" w:hAnsi="宋体" w:eastAsia="宋体" w:cs="宋体"/>
                <w:color w:val="auto"/>
                <w:sz w:val="21"/>
                <w:szCs w:val="21"/>
                <w:lang w:val="zh-CN" w:bidi="zh-CN"/>
              </w:rPr>
            </w:pPr>
            <w:r>
              <w:rPr>
                <w:rFonts w:hint="eastAsia" w:ascii="宋体" w:hAnsi="宋体" w:eastAsia="宋体" w:cs="宋体"/>
                <w:color w:val="auto"/>
                <w:sz w:val="21"/>
                <w:szCs w:val="21"/>
                <w:lang w:val="zh-CN" w:bidi="zh-CN"/>
              </w:rPr>
              <w:t>回</w:t>
            </w:r>
          </w:p>
        </w:tc>
        <w:tc>
          <w:tcPr>
            <w:tcW w:w="972" w:type="pct"/>
            <w:noWrap w:val="0"/>
            <w:vAlign w:val="top"/>
          </w:tcPr>
          <w:p w14:paraId="4FF05017">
            <w:pPr>
              <w:widowControl w:val="0"/>
              <w:autoSpaceDE w:val="0"/>
              <w:autoSpaceDN w:val="0"/>
              <w:spacing w:line="360" w:lineRule="auto"/>
              <w:rPr>
                <w:rFonts w:hint="default" w:ascii="宋体" w:hAnsi="宋体" w:eastAsia="宋体" w:cs="宋体"/>
                <w:color w:val="auto"/>
                <w:sz w:val="21"/>
                <w:szCs w:val="21"/>
                <w:lang w:val="en-US" w:bidi="zh-CN"/>
              </w:rPr>
            </w:pPr>
            <w:r>
              <w:rPr>
                <w:rFonts w:hint="eastAsia" w:ascii="宋体" w:hAnsi="宋体" w:cs="宋体"/>
                <w:color w:val="auto"/>
                <w:sz w:val="21"/>
                <w:szCs w:val="21"/>
                <w:lang w:val="en-US" w:bidi="zh-CN"/>
              </w:rPr>
              <w:t>2</w:t>
            </w:r>
          </w:p>
        </w:tc>
        <w:tc>
          <w:tcPr>
            <w:tcW w:w="921" w:type="pct"/>
            <w:noWrap w:val="0"/>
            <w:vAlign w:val="top"/>
          </w:tcPr>
          <w:p w14:paraId="0CAE7754">
            <w:pPr>
              <w:widowControl w:val="0"/>
              <w:autoSpaceDE w:val="0"/>
              <w:autoSpaceDN w:val="0"/>
              <w:spacing w:line="360" w:lineRule="auto"/>
              <w:rPr>
                <w:rFonts w:hint="eastAsia" w:ascii="宋体" w:hAnsi="宋体" w:eastAsia="宋体" w:cs="宋体"/>
                <w:color w:val="auto"/>
                <w:sz w:val="21"/>
                <w:szCs w:val="21"/>
                <w:lang w:val="zh-CN" w:bidi="zh-CN"/>
              </w:rPr>
            </w:pPr>
          </w:p>
        </w:tc>
      </w:tr>
      <w:tr w14:paraId="4C1FC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281" w:type="pct"/>
            <w:noWrap w:val="0"/>
            <w:vAlign w:val="top"/>
          </w:tcPr>
          <w:p w14:paraId="764BC4BA">
            <w:pPr>
              <w:widowControl w:val="0"/>
              <w:autoSpaceDE w:val="0"/>
              <w:autoSpaceDN w:val="0"/>
              <w:spacing w:line="360" w:lineRule="auto"/>
              <w:rPr>
                <w:rFonts w:hint="eastAsia" w:ascii="宋体" w:hAnsi="宋体" w:eastAsia="宋体" w:cs="宋体"/>
                <w:color w:val="auto"/>
                <w:sz w:val="21"/>
                <w:szCs w:val="21"/>
                <w:lang w:val="zh-CN" w:bidi="zh-CN"/>
              </w:rPr>
            </w:pPr>
            <w:r>
              <w:rPr>
                <w:rFonts w:hint="eastAsia" w:ascii="宋体" w:hAnsi="宋体" w:eastAsia="宋体" w:cs="宋体"/>
                <w:color w:val="auto"/>
                <w:sz w:val="21"/>
                <w:szCs w:val="21"/>
                <w:lang w:val="zh-CN" w:bidi="zh-CN"/>
              </w:rPr>
              <w:t>高压进线开关柜</w:t>
            </w:r>
          </w:p>
        </w:tc>
        <w:tc>
          <w:tcPr>
            <w:tcW w:w="949" w:type="pct"/>
            <w:noWrap w:val="0"/>
            <w:vAlign w:val="top"/>
          </w:tcPr>
          <w:p w14:paraId="50D8BF4C">
            <w:pPr>
              <w:widowControl w:val="0"/>
              <w:autoSpaceDE w:val="0"/>
              <w:autoSpaceDN w:val="0"/>
              <w:spacing w:line="360" w:lineRule="auto"/>
              <w:rPr>
                <w:rFonts w:hint="eastAsia" w:ascii="宋体" w:hAnsi="宋体" w:eastAsia="宋体" w:cs="宋体"/>
                <w:color w:val="auto"/>
                <w:sz w:val="21"/>
                <w:szCs w:val="21"/>
                <w:lang w:val="zh-CN" w:bidi="zh-CN"/>
              </w:rPr>
            </w:pPr>
            <w:r>
              <w:rPr>
                <w:rFonts w:hint="eastAsia" w:ascii="宋体" w:hAnsi="宋体" w:cs="宋体"/>
                <w:color w:val="auto"/>
                <w:sz w:val="21"/>
                <w:szCs w:val="21"/>
                <w:lang w:val="en-US" w:bidi="zh-CN"/>
              </w:rPr>
              <w:t>/</w:t>
            </w:r>
          </w:p>
        </w:tc>
        <w:tc>
          <w:tcPr>
            <w:tcW w:w="874" w:type="pct"/>
            <w:noWrap w:val="0"/>
            <w:vAlign w:val="top"/>
          </w:tcPr>
          <w:p w14:paraId="08A842E9">
            <w:pPr>
              <w:widowControl w:val="0"/>
              <w:autoSpaceDE w:val="0"/>
              <w:autoSpaceDN w:val="0"/>
              <w:spacing w:line="360" w:lineRule="auto"/>
              <w:rPr>
                <w:rFonts w:hint="eastAsia" w:ascii="宋体" w:hAnsi="宋体" w:eastAsia="宋体" w:cs="宋体"/>
                <w:color w:val="auto"/>
                <w:sz w:val="21"/>
                <w:szCs w:val="21"/>
                <w:lang w:val="zh-CN" w:bidi="zh-CN"/>
              </w:rPr>
            </w:pPr>
            <w:r>
              <w:rPr>
                <w:rFonts w:hint="eastAsia" w:ascii="宋体" w:hAnsi="宋体" w:eastAsia="宋体" w:cs="宋体"/>
                <w:color w:val="auto"/>
                <w:sz w:val="21"/>
                <w:szCs w:val="21"/>
                <w:lang w:val="zh-CN" w:bidi="zh-CN"/>
              </w:rPr>
              <w:t>组</w:t>
            </w:r>
          </w:p>
        </w:tc>
        <w:tc>
          <w:tcPr>
            <w:tcW w:w="972" w:type="pct"/>
            <w:noWrap w:val="0"/>
            <w:vAlign w:val="top"/>
          </w:tcPr>
          <w:p w14:paraId="71C07CFB">
            <w:pPr>
              <w:widowControl w:val="0"/>
              <w:autoSpaceDE w:val="0"/>
              <w:autoSpaceDN w:val="0"/>
              <w:spacing w:line="360" w:lineRule="auto"/>
              <w:rPr>
                <w:rFonts w:hint="default" w:ascii="宋体" w:hAnsi="宋体" w:eastAsia="宋体" w:cs="宋体"/>
                <w:color w:val="auto"/>
                <w:sz w:val="21"/>
                <w:szCs w:val="21"/>
                <w:lang w:val="en-US" w:bidi="zh-CN"/>
              </w:rPr>
            </w:pPr>
            <w:r>
              <w:rPr>
                <w:rFonts w:hint="eastAsia" w:ascii="宋体" w:hAnsi="宋体" w:cs="宋体"/>
                <w:color w:val="auto"/>
                <w:sz w:val="21"/>
                <w:szCs w:val="21"/>
                <w:lang w:val="en-US" w:bidi="zh-CN"/>
              </w:rPr>
              <w:t>7</w:t>
            </w:r>
          </w:p>
        </w:tc>
        <w:tc>
          <w:tcPr>
            <w:tcW w:w="921" w:type="pct"/>
            <w:noWrap w:val="0"/>
            <w:vAlign w:val="top"/>
          </w:tcPr>
          <w:p w14:paraId="1098CE5A">
            <w:pPr>
              <w:widowControl w:val="0"/>
              <w:autoSpaceDE w:val="0"/>
              <w:autoSpaceDN w:val="0"/>
              <w:spacing w:line="360" w:lineRule="auto"/>
              <w:rPr>
                <w:rFonts w:hint="eastAsia" w:ascii="宋体" w:hAnsi="宋体" w:eastAsia="宋体" w:cs="宋体"/>
                <w:color w:val="auto"/>
                <w:sz w:val="21"/>
                <w:szCs w:val="21"/>
                <w:lang w:val="zh-CN" w:bidi="zh-CN"/>
              </w:rPr>
            </w:pPr>
          </w:p>
        </w:tc>
      </w:tr>
      <w:tr w14:paraId="423B9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281" w:type="pct"/>
            <w:noWrap w:val="0"/>
            <w:vAlign w:val="top"/>
          </w:tcPr>
          <w:p w14:paraId="38A8DC25">
            <w:pPr>
              <w:widowControl w:val="0"/>
              <w:autoSpaceDE w:val="0"/>
              <w:autoSpaceDN w:val="0"/>
              <w:spacing w:line="360" w:lineRule="auto"/>
              <w:rPr>
                <w:rFonts w:hint="eastAsia" w:ascii="宋体" w:hAnsi="宋体" w:eastAsia="宋体" w:cs="宋体"/>
                <w:color w:val="auto"/>
                <w:sz w:val="21"/>
                <w:szCs w:val="21"/>
                <w:lang w:val="zh-CN" w:bidi="zh-CN"/>
              </w:rPr>
            </w:pPr>
            <w:r>
              <w:rPr>
                <w:rFonts w:hint="eastAsia" w:ascii="宋体" w:hAnsi="宋体" w:eastAsia="宋体" w:cs="宋体"/>
                <w:color w:val="auto"/>
                <w:sz w:val="21"/>
                <w:szCs w:val="21"/>
                <w:lang w:val="zh-CN" w:bidi="zh-CN"/>
              </w:rPr>
              <w:t>变压器</w:t>
            </w:r>
          </w:p>
        </w:tc>
        <w:tc>
          <w:tcPr>
            <w:tcW w:w="949" w:type="pct"/>
            <w:noWrap w:val="0"/>
            <w:vAlign w:val="top"/>
          </w:tcPr>
          <w:p w14:paraId="5E106A7F">
            <w:pPr>
              <w:widowControl w:val="0"/>
              <w:autoSpaceDE w:val="0"/>
              <w:autoSpaceDN w:val="0"/>
              <w:spacing w:line="360" w:lineRule="auto"/>
              <w:rPr>
                <w:rFonts w:hint="eastAsia" w:ascii="宋体" w:hAnsi="宋体" w:eastAsia="宋体" w:cs="宋体"/>
                <w:color w:val="auto"/>
                <w:sz w:val="21"/>
                <w:szCs w:val="21"/>
                <w:lang w:val="zh-CN" w:bidi="zh-CN"/>
              </w:rPr>
            </w:pPr>
            <w:r>
              <w:rPr>
                <w:rFonts w:hint="eastAsia" w:ascii="宋体" w:hAnsi="宋体" w:cs="宋体"/>
                <w:color w:val="auto"/>
                <w:sz w:val="21"/>
                <w:szCs w:val="21"/>
                <w:lang w:val="en-US" w:bidi="zh-CN"/>
              </w:rPr>
              <w:t>8</w:t>
            </w:r>
            <w:r>
              <w:rPr>
                <w:rFonts w:hint="eastAsia" w:ascii="宋体" w:hAnsi="宋体" w:eastAsia="宋体" w:cs="宋体"/>
                <w:color w:val="auto"/>
                <w:sz w:val="21"/>
                <w:szCs w:val="21"/>
                <w:lang w:val="zh-CN" w:bidi="zh-CN"/>
              </w:rPr>
              <w:t>00KVA</w:t>
            </w:r>
          </w:p>
        </w:tc>
        <w:tc>
          <w:tcPr>
            <w:tcW w:w="874" w:type="pct"/>
            <w:noWrap w:val="0"/>
            <w:vAlign w:val="top"/>
          </w:tcPr>
          <w:p w14:paraId="4F0BA7A2">
            <w:pPr>
              <w:widowControl w:val="0"/>
              <w:autoSpaceDE w:val="0"/>
              <w:autoSpaceDN w:val="0"/>
              <w:spacing w:line="360" w:lineRule="auto"/>
              <w:rPr>
                <w:rFonts w:hint="eastAsia" w:ascii="宋体" w:hAnsi="宋体" w:eastAsia="宋体" w:cs="宋体"/>
                <w:color w:val="auto"/>
                <w:sz w:val="21"/>
                <w:szCs w:val="21"/>
                <w:lang w:val="zh-CN" w:bidi="zh-CN"/>
              </w:rPr>
            </w:pPr>
            <w:r>
              <w:rPr>
                <w:rFonts w:hint="eastAsia" w:ascii="宋体" w:hAnsi="宋体" w:eastAsia="宋体" w:cs="宋体"/>
                <w:color w:val="auto"/>
                <w:sz w:val="21"/>
                <w:szCs w:val="21"/>
                <w:lang w:val="zh-CN" w:bidi="zh-CN"/>
              </w:rPr>
              <w:t>台</w:t>
            </w:r>
          </w:p>
        </w:tc>
        <w:tc>
          <w:tcPr>
            <w:tcW w:w="972" w:type="pct"/>
            <w:noWrap w:val="0"/>
            <w:vAlign w:val="top"/>
          </w:tcPr>
          <w:p w14:paraId="31A204C8">
            <w:pPr>
              <w:widowControl w:val="0"/>
              <w:autoSpaceDE w:val="0"/>
              <w:autoSpaceDN w:val="0"/>
              <w:spacing w:line="360" w:lineRule="auto"/>
              <w:rPr>
                <w:rFonts w:hint="default" w:ascii="宋体" w:hAnsi="宋体" w:eastAsia="宋体" w:cs="宋体"/>
                <w:color w:val="auto"/>
                <w:sz w:val="21"/>
                <w:szCs w:val="21"/>
                <w:lang w:val="en-US" w:bidi="zh-CN"/>
              </w:rPr>
            </w:pPr>
            <w:r>
              <w:rPr>
                <w:rFonts w:hint="eastAsia" w:ascii="宋体" w:hAnsi="宋体" w:cs="宋体"/>
                <w:color w:val="auto"/>
                <w:sz w:val="21"/>
                <w:szCs w:val="21"/>
                <w:lang w:val="en-US" w:bidi="zh-CN"/>
              </w:rPr>
              <w:t>2</w:t>
            </w:r>
          </w:p>
        </w:tc>
        <w:tc>
          <w:tcPr>
            <w:tcW w:w="921" w:type="pct"/>
            <w:noWrap w:val="0"/>
            <w:vAlign w:val="top"/>
          </w:tcPr>
          <w:p w14:paraId="40AED9FF">
            <w:pPr>
              <w:widowControl w:val="0"/>
              <w:autoSpaceDE w:val="0"/>
              <w:autoSpaceDN w:val="0"/>
              <w:spacing w:line="360" w:lineRule="auto"/>
              <w:rPr>
                <w:rFonts w:hint="eastAsia" w:ascii="宋体" w:hAnsi="宋体" w:eastAsia="宋体" w:cs="宋体"/>
                <w:color w:val="auto"/>
                <w:sz w:val="21"/>
                <w:szCs w:val="21"/>
                <w:lang w:val="zh-CN" w:bidi="zh-CN"/>
              </w:rPr>
            </w:pPr>
          </w:p>
        </w:tc>
      </w:tr>
      <w:tr w14:paraId="0098B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281" w:type="pct"/>
            <w:noWrap w:val="0"/>
            <w:vAlign w:val="top"/>
          </w:tcPr>
          <w:p w14:paraId="16157878">
            <w:pPr>
              <w:widowControl w:val="0"/>
              <w:autoSpaceDE w:val="0"/>
              <w:autoSpaceDN w:val="0"/>
              <w:spacing w:line="360" w:lineRule="auto"/>
              <w:rPr>
                <w:rFonts w:hint="eastAsia" w:ascii="宋体" w:hAnsi="宋体" w:eastAsia="宋体" w:cs="宋体"/>
                <w:color w:val="auto"/>
                <w:sz w:val="21"/>
                <w:szCs w:val="21"/>
                <w:lang w:val="zh-CN" w:bidi="zh-CN"/>
              </w:rPr>
            </w:pPr>
            <w:r>
              <w:rPr>
                <w:rFonts w:hint="eastAsia" w:ascii="宋体" w:hAnsi="宋体" w:eastAsia="宋体" w:cs="宋体"/>
                <w:color w:val="auto"/>
                <w:sz w:val="21"/>
                <w:szCs w:val="21"/>
                <w:lang w:val="zh-CN" w:bidi="zh-CN"/>
              </w:rPr>
              <w:t>低压配电柜</w:t>
            </w:r>
          </w:p>
        </w:tc>
        <w:tc>
          <w:tcPr>
            <w:tcW w:w="949" w:type="pct"/>
            <w:noWrap w:val="0"/>
            <w:vAlign w:val="top"/>
          </w:tcPr>
          <w:p w14:paraId="7761B48B">
            <w:pPr>
              <w:widowControl w:val="0"/>
              <w:autoSpaceDE w:val="0"/>
              <w:autoSpaceDN w:val="0"/>
              <w:spacing w:line="360" w:lineRule="auto"/>
              <w:rPr>
                <w:rFonts w:hint="eastAsia" w:ascii="宋体" w:hAnsi="宋体" w:eastAsia="宋体" w:cs="宋体"/>
                <w:color w:val="auto"/>
                <w:sz w:val="21"/>
                <w:szCs w:val="21"/>
                <w:lang w:val="zh-CN" w:bidi="zh-CN"/>
              </w:rPr>
            </w:pPr>
            <w:r>
              <w:rPr>
                <w:rFonts w:hint="eastAsia" w:ascii="宋体" w:hAnsi="宋体" w:cs="宋体"/>
                <w:color w:val="auto"/>
                <w:sz w:val="21"/>
                <w:szCs w:val="21"/>
                <w:lang w:val="en-US" w:bidi="zh-CN"/>
              </w:rPr>
              <w:t>/</w:t>
            </w:r>
          </w:p>
        </w:tc>
        <w:tc>
          <w:tcPr>
            <w:tcW w:w="874" w:type="pct"/>
            <w:noWrap w:val="0"/>
            <w:vAlign w:val="top"/>
          </w:tcPr>
          <w:p w14:paraId="6FBF9094">
            <w:pPr>
              <w:widowControl w:val="0"/>
              <w:autoSpaceDE w:val="0"/>
              <w:autoSpaceDN w:val="0"/>
              <w:spacing w:line="360" w:lineRule="auto"/>
              <w:rPr>
                <w:rFonts w:hint="eastAsia" w:ascii="宋体" w:hAnsi="宋体" w:eastAsia="宋体" w:cs="宋体"/>
                <w:color w:val="auto"/>
                <w:sz w:val="21"/>
                <w:szCs w:val="21"/>
                <w:lang w:val="zh-CN" w:bidi="zh-CN"/>
              </w:rPr>
            </w:pPr>
            <w:r>
              <w:rPr>
                <w:rFonts w:hint="eastAsia" w:ascii="宋体" w:hAnsi="宋体" w:eastAsia="宋体" w:cs="宋体"/>
                <w:color w:val="auto"/>
                <w:sz w:val="21"/>
                <w:szCs w:val="21"/>
                <w:lang w:val="zh-CN" w:bidi="zh-CN"/>
              </w:rPr>
              <w:t>组</w:t>
            </w:r>
          </w:p>
        </w:tc>
        <w:tc>
          <w:tcPr>
            <w:tcW w:w="972" w:type="pct"/>
            <w:noWrap w:val="0"/>
            <w:vAlign w:val="top"/>
          </w:tcPr>
          <w:p w14:paraId="6A1C60E7">
            <w:pPr>
              <w:widowControl w:val="0"/>
              <w:autoSpaceDE w:val="0"/>
              <w:autoSpaceDN w:val="0"/>
              <w:spacing w:line="360" w:lineRule="auto"/>
              <w:rPr>
                <w:rFonts w:hint="default" w:ascii="宋体" w:hAnsi="宋体" w:eastAsia="宋体" w:cs="宋体"/>
                <w:color w:val="auto"/>
                <w:sz w:val="21"/>
                <w:szCs w:val="21"/>
                <w:lang w:val="en-US" w:bidi="zh-CN"/>
              </w:rPr>
            </w:pPr>
            <w:r>
              <w:rPr>
                <w:rFonts w:hint="eastAsia" w:ascii="宋体" w:hAnsi="宋体" w:cs="宋体"/>
                <w:color w:val="auto"/>
                <w:sz w:val="21"/>
                <w:szCs w:val="21"/>
                <w:lang w:val="en-US" w:bidi="zh-CN"/>
              </w:rPr>
              <w:t>9</w:t>
            </w:r>
          </w:p>
        </w:tc>
        <w:tc>
          <w:tcPr>
            <w:tcW w:w="921" w:type="pct"/>
            <w:noWrap w:val="0"/>
            <w:vAlign w:val="top"/>
          </w:tcPr>
          <w:p w14:paraId="1E5061B1">
            <w:pPr>
              <w:widowControl w:val="0"/>
              <w:autoSpaceDE w:val="0"/>
              <w:autoSpaceDN w:val="0"/>
              <w:spacing w:line="360" w:lineRule="auto"/>
              <w:rPr>
                <w:rFonts w:hint="eastAsia" w:ascii="宋体" w:hAnsi="宋体" w:eastAsia="宋体" w:cs="宋体"/>
                <w:color w:val="auto"/>
                <w:sz w:val="21"/>
                <w:szCs w:val="21"/>
                <w:lang w:val="zh-CN" w:bidi="zh-CN"/>
              </w:rPr>
            </w:pPr>
          </w:p>
        </w:tc>
      </w:tr>
    </w:tbl>
    <w:p w14:paraId="6932DF2E">
      <w:pPr>
        <w:widowControl/>
        <w:jc w:val="center"/>
        <w:rPr>
          <w:rFonts w:hint="eastAsia" w:ascii="宋体" w:hAnsi="宋体" w:eastAsia="宋体" w:cs="宋体"/>
          <w:color w:val="000000"/>
          <w:kern w:val="0"/>
          <w:sz w:val="24"/>
          <w:szCs w:val="24"/>
          <w:lang w:val="en-US" w:eastAsia="zh-CN"/>
        </w:rPr>
      </w:pPr>
    </w:p>
    <w:p w14:paraId="4F6C81F0">
      <w:pPr>
        <w:widowControl/>
        <w:jc w:val="center"/>
        <w:rPr>
          <w:rFonts w:hint="default" w:ascii="宋体" w:hAnsi="宋体" w:eastAsia="宋体" w:cs="宋体"/>
          <w:b/>
          <w:bCs/>
          <w:color w:val="000000"/>
          <w:kern w:val="0"/>
          <w:sz w:val="21"/>
          <w:szCs w:val="21"/>
          <w:lang w:val="en-US" w:eastAsia="zh-CN"/>
        </w:rPr>
      </w:pPr>
      <w:r>
        <w:rPr>
          <w:rFonts w:hint="eastAsia" w:ascii="宋体" w:hAnsi="宋体" w:cs="宋体"/>
          <w:b/>
          <w:bCs/>
          <w:color w:val="000000"/>
          <w:kern w:val="0"/>
          <w:sz w:val="21"/>
          <w:szCs w:val="21"/>
          <w:lang w:val="en-US" w:eastAsia="zh-CN"/>
        </w:rPr>
        <w:t>2号住院楼1F配电房</w:t>
      </w:r>
    </w:p>
    <w:tbl>
      <w:tblPr>
        <w:tblStyle w:val="8"/>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84"/>
        <w:gridCol w:w="1618"/>
        <w:gridCol w:w="1490"/>
        <w:gridCol w:w="1657"/>
        <w:gridCol w:w="1570"/>
      </w:tblGrid>
      <w:tr w14:paraId="35177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1281" w:type="pct"/>
            <w:noWrap w:val="0"/>
            <w:vAlign w:val="top"/>
          </w:tcPr>
          <w:p w14:paraId="7324256B">
            <w:pPr>
              <w:widowControl w:val="0"/>
              <w:autoSpaceDE w:val="0"/>
              <w:autoSpaceDN w:val="0"/>
              <w:spacing w:line="360" w:lineRule="auto"/>
              <w:rPr>
                <w:rFonts w:hint="eastAsia" w:ascii="宋体" w:hAnsi="宋体" w:eastAsia="宋体" w:cs="宋体"/>
                <w:b/>
                <w:color w:val="auto"/>
                <w:sz w:val="21"/>
                <w:szCs w:val="21"/>
                <w:lang w:val="zh-CN" w:bidi="zh-CN"/>
              </w:rPr>
            </w:pPr>
            <w:r>
              <w:rPr>
                <w:rFonts w:hint="eastAsia" w:ascii="宋体" w:hAnsi="宋体" w:eastAsia="宋体" w:cs="宋体"/>
                <w:b/>
                <w:color w:val="auto"/>
                <w:sz w:val="21"/>
                <w:szCs w:val="21"/>
                <w:lang w:val="zh-CN" w:bidi="zh-CN"/>
              </w:rPr>
              <w:t>设备名称</w:t>
            </w:r>
            <w:r>
              <w:rPr>
                <w:rFonts w:hint="eastAsia" w:ascii="宋体" w:hAnsi="宋体" w:eastAsia="宋体" w:cs="宋体"/>
                <w:b/>
                <w:color w:val="auto"/>
                <w:sz w:val="21"/>
                <w:szCs w:val="21"/>
                <w:lang w:val="zh-CN" w:bidi="zh-CN"/>
              </w:rPr>
              <w:tab/>
            </w:r>
          </w:p>
        </w:tc>
        <w:tc>
          <w:tcPr>
            <w:tcW w:w="949" w:type="pct"/>
            <w:noWrap w:val="0"/>
            <w:vAlign w:val="top"/>
          </w:tcPr>
          <w:p w14:paraId="3C7E7FD1">
            <w:pPr>
              <w:widowControl w:val="0"/>
              <w:autoSpaceDE w:val="0"/>
              <w:autoSpaceDN w:val="0"/>
              <w:spacing w:line="360" w:lineRule="auto"/>
              <w:rPr>
                <w:rFonts w:hint="eastAsia" w:ascii="宋体" w:hAnsi="宋体" w:eastAsia="宋体" w:cs="宋体"/>
                <w:b/>
                <w:color w:val="auto"/>
                <w:sz w:val="21"/>
                <w:szCs w:val="21"/>
                <w:lang w:val="zh-CN" w:bidi="zh-CN"/>
              </w:rPr>
            </w:pPr>
            <w:r>
              <w:rPr>
                <w:rFonts w:hint="eastAsia" w:ascii="宋体" w:hAnsi="宋体" w:eastAsia="宋体" w:cs="宋体"/>
                <w:b/>
                <w:color w:val="auto"/>
                <w:sz w:val="21"/>
                <w:szCs w:val="21"/>
                <w:lang w:val="zh-CN" w:bidi="zh-CN"/>
              </w:rPr>
              <w:t>规格</w:t>
            </w:r>
          </w:p>
        </w:tc>
        <w:tc>
          <w:tcPr>
            <w:tcW w:w="874" w:type="pct"/>
            <w:noWrap w:val="0"/>
            <w:vAlign w:val="top"/>
          </w:tcPr>
          <w:p w14:paraId="1A9E4336">
            <w:pPr>
              <w:widowControl w:val="0"/>
              <w:autoSpaceDE w:val="0"/>
              <w:autoSpaceDN w:val="0"/>
              <w:spacing w:line="360" w:lineRule="auto"/>
              <w:rPr>
                <w:rFonts w:hint="eastAsia" w:ascii="宋体" w:hAnsi="宋体" w:eastAsia="宋体" w:cs="宋体"/>
                <w:b/>
                <w:color w:val="auto"/>
                <w:sz w:val="21"/>
                <w:szCs w:val="21"/>
                <w:lang w:val="zh-CN" w:bidi="zh-CN"/>
              </w:rPr>
            </w:pPr>
            <w:r>
              <w:rPr>
                <w:rFonts w:hint="eastAsia" w:ascii="宋体" w:hAnsi="宋体" w:eastAsia="宋体" w:cs="宋体"/>
                <w:b/>
                <w:color w:val="auto"/>
                <w:sz w:val="21"/>
                <w:szCs w:val="21"/>
                <w:lang w:val="zh-CN" w:bidi="zh-CN"/>
              </w:rPr>
              <w:t>单位</w:t>
            </w:r>
          </w:p>
        </w:tc>
        <w:tc>
          <w:tcPr>
            <w:tcW w:w="972" w:type="pct"/>
            <w:noWrap w:val="0"/>
            <w:vAlign w:val="top"/>
          </w:tcPr>
          <w:p w14:paraId="0B2B7D55">
            <w:pPr>
              <w:widowControl w:val="0"/>
              <w:autoSpaceDE w:val="0"/>
              <w:autoSpaceDN w:val="0"/>
              <w:spacing w:line="360" w:lineRule="auto"/>
              <w:rPr>
                <w:rFonts w:hint="eastAsia" w:ascii="宋体" w:hAnsi="宋体" w:eastAsia="宋体" w:cs="宋体"/>
                <w:b/>
                <w:color w:val="auto"/>
                <w:sz w:val="21"/>
                <w:szCs w:val="21"/>
                <w:lang w:val="zh-CN" w:bidi="zh-CN"/>
              </w:rPr>
            </w:pPr>
            <w:r>
              <w:rPr>
                <w:rFonts w:hint="eastAsia" w:ascii="宋体" w:hAnsi="宋体" w:eastAsia="宋体" w:cs="宋体"/>
                <w:b/>
                <w:color w:val="auto"/>
                <w:sz w:val="21"/>
                <w:szCs w:val="21"/>
                <w:lang w:val="zh-CN" w:bidi="zh-CN"/>
              </w:rPr>
              <w:t>数量</w:t>
            </w:r>
          </w:p>
        </w:tc>
        <w:tc>
          <w:tcPr>
            <w:tcW w:w="921" w:type="pct"/>
            <w:noWrap w:val="0"/>
            <w:vAlign w:val="top"/>
          </w:tcPr>
          <w:p w14:paraId="4D20A21A">
            <w:pPr>
              <w:widowControl w:val="0"/>
              <w:autoSpaceDE w:val="0"/>
              <w:autoSpaceDN w:val="0"/>
              <w:spacing w:line="360" w:lineRule="auto"/>
              <w:rPr>
                <w:rFonts w:hint="eastAsia" w:ascii="宋体" w:hAnsi="宋体" w:eastAsia="宋体" w:cs="宋体"/>
                <w:b/>
                <w:color w:val="auto"/>
                <w:sz w:val="21"/>
                <w:szCs w:val="21"/>
                <w:lang w:val="zh-CN" w:bidi="zh-CN"/>
              </w:rPr>
            </w:pPr>
            <w:r>
              <w:rPr>
                <w:rFonts w:hint="eastAsia" w:ascii="宋体" w:hAnsi="宋体" w:eastAsia="宋体" w:cs="宋体"/>
                <w:b/>
                <w:color w:val="auto"/>
                <w:sz w:val="21"/>
                <w:szCs w:val="21"/>
                <w:lang w:val="zh-CN" w:bidi="zh-CN"/>
              </w:rPr>
              <w:t>备注</w:t>
            </w:r>
          </w:p>
        </w:tc>
      </w:tr>
      <w:tr w14:paraId="471AD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281" w:type="pct"/>
            <w:noWrap w:val="0"/>
            <w:vAlign w:val="top"/>
          </w:tcPr>
          <w:p w14:paraId="1CF07FD4">
            <w:pPr>
              <w:widowControl w:val="0"/>
              <w:autoSpaceDE w:val="0"/>
              <w:autoSpaceDN w:val="0"/>
              <w:spacing w:line="360" w:lineRule="auto"/>
              <w:rPr>
                <w:rFonts w:hint="eastAsia" w:ascii="宋体" w:hAnsi="宋体" w:eastAsia="宋体" w:cs="宋体"/>
                <w:color w:val="auto"/>
                <w:sz w:val="21"/>
                <w:szCs w:val="21"/>
                <w:lang w:val="zh-CN" w:bidi="zh-CN"/>
              </w:rPr>
            </w:pPr>
            <w:r>
              <w:rPr>
                <w:rFonts w:hint="eastAsia" w:ascii="宋体" w:hAnsi="宋体" w:eastAsia="宋体" w:cs="宋体"/>
                <w:color w:val="auto"/>
                <w:sz w:val="21"/>
                <w:szCs w:val="21"/>
                <w:lang w:val="zh-CN" w:bidi="zh-CN"/>
              </w:rPr>
              <w:t>低压配电柜</w:t>
            </w:r>
          </w:p>
        </w:tc>
        <w:tc>
          <w:tcPr>
            <w:tcW w:w="949" w:type="pct"/>
            <w:noWrap w:val="0"/>
            <w:vAlign w:val="top"/>
          </w:tcPr>
          <w:p w14:paraId="1FA7ACC7">
            <w:pPr>
              <w:widowControl w:val="0"/>
              <w:autoSpaceDE w:val="0"/>
              <w:autoSpaceDN w:val="0"/>
              <w:spacing w:line="360" w:lineRule="auto"/>
              <w:rPr>
                <w:rFonts w:hint="eastAsia" w:ascii="宋体" w:hAnsi="宋体" w:eastAsia="宋体" w:cs="宋体"/>
                <w:color w:val="auto"/>
                <w:sz w:val="21"/>
                <w:szCs w:val="21"/>
                <w:lang w:val="zh-CN" w:bidi="zh-CN"/>
              </w:rPr>
            </w:pPr>
            <w:r>
              <w:rPr>
                <w:rFonts w:hint="eastAsia" w:ascii="宋体" w:hAnsi="宋体" w:cs="宋体"/>
                <w:color w:val="auto"/>
                <w:sz w:val="21"/>
                <w:szCs w:val="21"/>
                <w:lang w:val="en-US" w:bidi="zh-CN"/>
              </w:rPr>
              <w:t>/</w:t>
            </w:r>
          </w:p>
        </w:tc>
        <w:tc>
          <w:tcPr>
            <w:tcW w:w="874" w:type="pct"/>
            <w:noWrap w:val="0"/>
            <w:vAlign w:val="top"/>
          </w:tcPr>
          <w:p w14:paraId="57AF4B9F">
            <w:pPr>
              <w:widowControl w:val="0"/>
              <w:autoSpaceDE w:val="0"/>
              <w:autoSpaceDN w:val="0"/>
              <w:spacing w:line="360" w:lineRule="auto"/>
              <w:rPr>
                <w:rFonts w:hint="eastAsia" w:ascii="宋体" w:hAnsi="宋体" w:eastAsia="宋体" w:cs="宋体"/>
                <w:color w:val="auto"/>
                <w:sz w:val="21"/>
                <w:szCs w:val="21"/>
                <w:lang w:val="zh-CN" w:bidi="zh-CN"/>
              </w:rPr>
            </w:pPr>
            <w:r>
              <w:rPr>
                <w:rFonts w:hint="eastAsia" w:ascii="宋体" w:hAnsi="宋体" w:eastAsia="宋体" w:cs="宋体"/>
                <w:color w:val="auto"/>
                <w:sz w:val="21"/>
                <w:szCs w:val="21"/>
                <w:lang w:val="zh-CN" w:bidi="zh-CN"/>
              </w:rPr>
              <w:t>组</w:t>
            </w:r>
          </w:p>
        </w:tc>
        <w:tc>
          <w:tcPr>
            <w:tcW w:w="972" w:type="pct"/>
            <w:noWrap w:val="0"/>
            <w:vAlign w:val="top"/>
          </w:tcPr>
          <w:p w14:paraId="291F1E1C">
            <w:pPr>
              <w:widowControl w:val="0"/>
              <w:autoSpaceDE w:val="0"/>
              <w:autoSpaceDN w:val="0"/>
              <w:spacing w:line="360" w:lineRule="auto"/>
              <w:rPr>
                <w:rFonts w:hint="default" w:ascii="宋体" w:hAnsi="宋体" w:eastAsia="宋体" w:cs="宋体"/>
                <w:color w:val="auto"/>
                <w:sz w:val="21"/>
                <w:szCs w:val="21"/>
                <w:lang w:val="en-US" w:bidi="zh-CN"/>
              </w:rPr>
            </w:pPr>
            <w:r>
              <w:rPr>
                <w:rFonts w:hint="eastAsia" w:ascii="宋体" w:hAnsi="宋体" w:cs="宋体"/>
                <w:color w:val="auto"/>
                <w:sz w:val="21"/>
                <w:szCs w:val="21"/>
                <w:lang w:val="en-US" w:bidi="zh-CN"/>
              </w:rPr>
              <w:t>5</w:t>
            </w:r>
          </w:p>
        </w:tc>
        <w:tc>
          <w:tcPr>
            <w:tcW w:w="921" w:type="pct"/>
            <w:noWrap w:val="0"/>
            <w:vAlign w:val="top"/>
          </w:tcPr>
          <w:p w14:paraId="72F4F43A">
            <w:pPr>
              <w:widowControl w:val="0"/>
              <w:autoSpaceDE w:val="0"/>
              <w:autoSpaceDN w:val="0"/>
              <w:spacing w:line="360" w:lineRule="auto"/>
              <w:rPr>
                <w:rFonts w:hint="eastAsia" w:ascii="宋体" w:hAnsi="宋体" w:eastAsia="宋体" w:cs="宋体"/>
                <w:color w:val="auto"/>
                <w:sz w:val="21"/>
                <w:szCs w:val="21"/>
                <w:lang w:val="zh-CN" w:bidi="zh-CN"/>
              </w:rPr>
            </w:pPr>
          </w:p>
        </w:tc>
      </w:tr>
    </w:tbl>
    <w:p w14:paraId="6EA34C8E">
      <w:pPr>
        <w:widowControl/>
        <w:jc w:val="center"/>
        <w:rPr>
          <w:rFonts w:hint="eastAsia" w:ascii="宋体" w:hAnsi="宋体" w:eastAsia="宋体" w:cs="宋体"/>
          <w:color w:val="000000"/>
          <w:kern w:val="0"/>
          <w:sz w:val="24"/>
          <w:szCs w:val="24"/>
          <w:lang w:val="en-US" w:eastAsia="zh-CN"/>
        </w:rPr>
      </w:pPr>
    </w:p>
    <w:p w14:paraId="46D68CF3">
      <w:pPr>
        <w:widowControl/>
        <w:jc w:val="center"/>
        <w:rPr>
          <w:rFonts w:hint="default" w:ascii="宋体" w:hAnsi="宋体" w:eastAsia="宋体" w:cs="宋体"/>
          <w:b/>
          <w:bCs/>
          <w:color w:val="000000"/>
          <w:kern w:val="0"/>
          <w:sz w:val="21"/>
          <w:szCs w:val="21"/>
          <w:lang w:val="en-US" w:eastAsia="zh-CN"/>
        </w:rPr>
      </w:pPr>
      <w:r>
        <w:rPr>
          <w:rFonts w:hint="eastAsia" w:ascii="宋体" w:hAnsi="宋体" w:cs="宋体"/>
          <w:b/>
          <w:bCs/>
          <w:color w:val="000000"/>
          <w:kern w:val="0"/>
          <w:sz w:val="21"/>
          <w:szCs w:val="21"/>
          <w:lang w:val="en-US" w:eastAsia="zh-CN"/>
        </w:rPr>
        <w:t>新建综合大楼配电房</w:t>
      </w:r>
    </w:p>
    <w:tbl>
      <w:tblPr>
        <w:tblStyle w:val="8"/>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84"/>
        <w:gridCol w:w="1618"/>
        <w:gridCol w:w="1490"/>
        <w:gridCol w:w="1657"/>
        <w:gridCol w:w="1570"/>
      </w:tblGrid>
      <w:tr w14:paraId="2EF92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1281" w:type="pct"/>
            <w:noWrap w:val="0"/>
            <w:vAlign w:val="top"/>
          </w:tcPr>
          <w:p w14:paraId="7A87AE6D">
            <w:pPr>
              <w:widowControl w:val="0"/>
              <w:autoSpaceDE w:val="0"/>
              <w:autoSpaceDN w:val="0"/>
              <w:spacing w:line="360" w:lineRule="auto"/>
              <w:rPr>
                <w:rFonts w:hint="eastAsia" w:ascii="宋体" w:hAnsi="宋体" w:eastAsia="宋体" w:cs="宋体"/>
                <w:b/>
                <w:color w:val="auto"/>
                <w:sz w:val="21"/>
                <w:szCs w:val="21"/>
                <w:lang w:val="zh-CN" w:bidi="zh-CN"/>
              </w:rPr>
            </w:pPr>
            <w:r>
              <w:rPr>
                <w:rFonts w:hint="eastAsia" w:ascii="宋体" w:hAnsi="宋体" w:eastAsia="宋体" w:cs="宋体"/>
                <w:b/>
                <w:color w:val="auto"/>
                <w:sz w:val="21"/>
                <w:szCs w:val="21"/>
                <w:lang w:val="zh-CN" w:bidi="zh-CN"/>
              </w:rPr>
              <w:t>设备名称</w:t>
            </w:r>
            <w:r>
              <w:rPr>
                <w:rFonts w:hint="eastAsia" w:ascii="宋体" w:hAnsi="宋体" w:eastAsia="宋体" w:cs="宋体"/>
                <w:b/>
                <w:color w:val="auto"/>
                <w:sz w:val="21"/>
                <w:szCs w:val="21"/>
                <w:lang w:val="zh-CN" w:bidi="zh-CN"/>
              </w:rPr>
              <w:tab/>
            </w:r>
          </w:p>
        </w:tc>
        <w:tc>
          <w:tcPr>
            <w:tcW w:w="949" w:type="pct"/>
            <w:noWrap w:val="0"/>
            <w:vAlign w:val="top"/>
          </w:tcPr>
          <w:p w14:paraId="29DD56CD">
            <w:pPr>
              <w:widowControl w:val="0"/>
              <w:autoSpaceDE w:val="0"/>
              <w:autoSpaceDN w:val="0"/>
              <w:spacing w:line="360" w:lineRule="auto"/>
              <w:rPr>
                <w:rFonts w:hint="eastAsia" w:ascii="宋体" w:hAnsi="宋体" w:eastAsia="宋体" w:cs="宋体"/>
                <w:b/>
                <w:color w:val="auto"/>
                <w:sz w:val="21"/>
                <w:szCs w:val="21"/>
                <w:lang w:val="zh-CN" w:bidi="zh-CN"/>
              </w:rPr>
            </w:pPr>
            <w:r>
              <w:rPr>
                <w:rFonts w:hint="eastAsia" w:ascii="宋体" w:hAnsi="宋体" w:eastAsia="宋体" w:cs="宋体"/>
                <w:b/>
                <w:color w:val="auto"/>
                <w:sz w:val="21"/>
                <w:szCs w:val="21"/>
                <w:lang w:val="zh-CN" w:bidi="zh-CN"/>
              </w:rPr>
              <w:t>规格</w:t>
            </w:r>
          </w:p>
        </w:tc>
        <w:tc>
          <w:tcPr>
            <w:tcW w:w="874" w:type="pct"/>
            <w:noWrap w:val="0"/>
            <w:vAlign w:val="top"/>
          </w:tcPr>
          <w:p w14:paraId="7B328DB6">
            <w:pPr>
              <w:widowControl w:val="0"/>
              <w:autoSpaceDE w:val="0"/>
              <w:autoSpaceDN w:val="0"/>
              <w:spacing w:line="360" w:lineRule="auto"/>
              <w:rPr>
                <w:rFonts w:hint="eastAsia" w:ascii="宋体" w:hAnsi="宋体" w:eastAsia="宋体" w:cs="宋体"/>
                <w:b/>
                <w:color w:val="auto"/>
                <w:sz w:val="21"/>
                <w:szCs w:val="21"/>
                <w:lang w:val="zh-CN" w:bidi="zh-CN"/>
              </w:rPr>
            </w:pPr>
            <w:r>
              <w:rPr>
                <w:rFonts w:hint="eastAsia" w:ascii="宋体" w:hAnsi="宋体" w:eastAsia="宋体" w:cs="宋体"/>
                <w:b/>
                <w:color w:val="auto"/>
                <w:sz w:val="21"/>
                <w:szCs w:val="21"/>
                <w:lang w:val="zh-CN" w:bidi="zh-CN"/>
              </w:rPr>
              <w:t>单位</w:t>
            </w:r>
          </w:p>
        </w:tc>
        <w:tc>
          <w:tcPr>
            <w:tcW w:w="972" w:type="pct"/>
            <w:noWrap w:val="0"/>
            <w:vAlign w:val="top"/>
          </w:tcPr>
          <w:p w14:paraId="6714AF25">
            <w:pPr>
              <w:widowControl w:val="0"/>
              <w:autoSpaceDE w:val="0"/>
              <w:autoSpaceDN w:val="0"/>
              <w:spacing w:line="360" w:lineRule="auto"/>
              <w:rPr>
                <w:rFonts w:hint="eastAsia" w:ascii="宋体" w:hAnsi="宋体" w:eastAsia="宋体" w:cs="宋体"/>
                <w:b/>
                <w:color w:val="auto"/>
                <w:sz w:val="21"/>
                <w:szCs w:val="21"/>
                <w:lang w:val="zh-CN" w:bidi="zh-CN"/>
              </w:rPr>
            </w:pPr>
            <w:r>
              <w:rPr>
                <w:rFonts w:hint="eastAsia" w:ascii="宋体" w:hAnsi="宋体" w:eastAsia="宋体" w:cs="宋体"/>
                <w:b/>
                <w:color w:val="auto"/>
                <w:sz w:val="21"/>
                <w:szCs w:val="21"/>
                <w:lang w:val="zh-CN" w:bidi="zh-CN"/>
              </w:rPr>
              <w:t>数量</w:t>
            </w:r>
          </w:p>
        </w:tc>
        <w:tc>
          <w:tcPr>
            <w:tcW w:w="921" w:type="pct"/>
            <w:noWrap w:val="0"/>
            <w:vAlign w:val="top"/>
          </w:tcPr>
          <w:p w14:paraId="33D3BE07">
            <w:pPr>
              <w:widowControl w:val="0"/>
              <w:autoSpaceDE w:val="0"/>
              <w:autoSpaceDN w:val="0"/>
              <w:spacing w:line="360" w:lineRule="auto"/>
              <w:rPr>
                <w:rFonts w:hint="eastAsia" w:ascii="宋体" w:hAnsi="宋体" w:eastAsia="宋体" w:cs="宋体"/>
                <w:b/>
                <w:color w:val="auto"/>
                <w:sz w:val="21"/>
                <w:szCs w:val="21"/>
                <w:lang w:val="zh-CN" w:bidi="zh-CN"/>
              </w:rPr>
            </w:pPr>
            <w:r>
              <w:rPr>
                <w:rFonts w:hint="eastAsia" w:ascii="宋体" w:hAnsi="宋体" w:eastAsia="宋体" w:cs="宋体"/>
                <w:b/>
                <w:color w:val="auto"/>
                <w:sz w:val="21"/>
                <w:szCs w:val="21"/>
                <w:lang w:val="zh-CN" w:bidi="zh-CN"/>
              </w:rPr>
              <w:t>备注</w:t>
            </w:r>
          </w:p>
        </w:tc>
      </w:tr>
      <w:tr w14:paraId="5A3D3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281" w:type="pct"/>
            <w:noWrap w:val="0"/>
            <w:vAlign w:val="top"/>
          </w:tcPr>
          <w:p w14:paraId="7855D1A8">
            <w:pPr>
              <w:widowControl w:val="0"/>
              <w:autoSpaceDE w:val="0"/>
              <w:autoSpaceDN w:val="0"/>
              <w:spacing w:line="360" w:lineRule="auto"/>
              <w:rPr>
                <w:rFonts w:hint="eastAsia" w:ascii="宋体" w:hAnsi="宋体" w:eastAsia="宋体" w:cs="宋体"/>
                <w:color w:val="auto"/>
                <w:sz w:val="21"/>
                <w:szCs w:val="21"/>
                <w:lang w:val="zh-CN" w:bidi="zh-CN"/>
              </w:rPr>
            </w:pPr>
            <w:r>
              <w:rPr>
                <w:rFonts w:hint="eastAsia" w:ascii="宋体" w:hAnsi="宋体" w:eastAsia="宋体" w:cs="宋体"/>
                <w:color w:val="auto"/>
                <w:sz w:val="21"/>
                <w:szCs w:val="21"/>
                <w:lang w:val="zh-CN" w:bidi="zh-CN"/>
              </w:rPr>
              <w:t>高压进线电缆</w:t>
            </w:r>
          </w:p>
        </w:tc>
        <w:tc>
          <w:tcPr>
            <w:tcW w:w="949" w:type="pct"/>
            <w:noWrap w:val="0"/>
            <w:vAlign w:val="top"/>
          </w:tcPr>
          <w:p w14:paraId="1D057452">
            <w:pPr>
              <w:widowControl w:val="0"/>
              <w:autoSpaceDE w:val="0"/>
              <w:autoSpaceDN w:val="0"/>
              <w:spacing w:line="360" w:lineRule="auto"/>
              <w:rPr>
                <w:rFonts w:hint="eastAsia" w:ascii="宋体" w:hAnsi="宋体" w:eastAsia="宋体" w:cs="宋体"/>
                <w:color w:val="auto"/>
                <w:sz w:val="21"/>
                <w:szCs w:val="21"/>
                <w:lang w:val="zh-CN" w:bidi="zh-CN"/>
              </w:rPr>
            </w:pPr>
            <w:r>
              <w:rPr>
                <w:rFonts w:hint="eastAsia" w:ascii="宋体" w:hAnsi="宋体" w:eastAsia="宋体" w:cs="宋体"/>
                <w:color w:val="auto"/>
                <w:sz w:val="21"/>
                <w:szCs w:val="21"/>
                <w:lang w:val="zh-CN" w:bidi="zh-CN"/>
              </w:rPr>
              <w:t>10KV</w:t>
            </w:r>
          </w:p>
        </w:tc>
        <w:tc>
          <w:tcPr>
            <w:tcW w:w="874" w:type="pct"/>
            <w:noWrap w:val="0"/>
            <w:vAlign w:val="top"/>
          </w:tcPr>
          <w:p w14:paraId="5738A4E9">
            <w:pPr>
              <w:widowControl w:val="0"/>
              <w:autoSpaceDE w:val="0"/>
              <w:autoSpaceDN w:val="0"/>
              <w:spacing w:line="360" w:lineRule="auto"/>
              <w:rPr>
                <w:rFonts w:hint="eastAsia" w:ascii="宋体" w:hAnsi="宋体" w:eastAsia="宋体" w:cs="宋体"/>
                <w:color w:val="auto"/>
                <w:sz w:val="21"/>
                <w:szCs w:val="21"/>
                <w:lang w:val="zh-CN" w:bidi="zh-CN"/>
              </w:rPr>
            </w:pPr>
            <w:r>
              <w:rPr>
                <w:rFonts w:hint="eastAsia" w:ascii="宋体" w:hAnsi="宋体" w:eastAsia="宋体" w:cs="宋体"/>
                <w:color w:val="auto"/>
                <w:sz w:val="21"/>
                <w:szCs w:val="21"/>
                <w:lang w:val="zh-CN" w:bidi="zh-CN"/>
              </w:rPr>
              <w:t>回</w:t>
            </w:r>
          </w:p>
        </w:tc>
        <w:tc>
          <w:tcPr>
            <w:tcW w:w="972" w:type="pct"/>
            <w:noWrap w:val="0"/>
            <w:vAlign w:val="top"/>
          </w:tcPr>
          <w:p w14:paraId="34C93456">
            <w:pPr>
              <w:widowControl w:val="0"/>
              <w:autoSpaceDE w:val="0"/>
              <w:autoSpaceDN w:val="0"/>
              <w:spacing w:line="360" w:lineRule="auto"/>
              <w:rPr>
                <w:rFonts w:hint="default" w:ascii="宋体" w:hAnsi="宋体" w:eastAsia="宋体" w:cs="宋体"/>
                <w:color w:val="auto"/>
                <w:sz w:val="21"/>
                <w:szCs w:val="21"/>
                <w:lang w:val="en-US" w:bidi="zh-CN"/>
              </w:rPr>
            </w:pPr>
            <w:r>
              <w:rPr>
                <w:rFonts w:hint="eastAsia" w:ascii="宋体" w:hAnsi="宋体" w:cs="宋体"/>
                <w:color w:val="auto"/>
                <w:sz w:val="21"/>
                <w:szCs w:val="21"/>
                <w:lang w:val="en-US" w:bidi="zh-CN"/>
              </w:rPr>
              <w:t>4</w:t>
            </w:r>
          </w:p>
        </w:tc>
        <w:tc>
          <w:tcPr>
            <w:tcW w:w="921" w:type="pct"/>
            <w:noWrap w:val="0"/>
            <w:vAlign w:val="top"/>
          </w:tcPr>
          <w:p w14:paraId="437DF905">
            <w:pPr>
              <w:widowControl w:val="0"/>
              <w:autoSpaceDE w:val="0"/>
              <w:autoSpaceDN w:val="0"/>
              <w:spacing w:line="360" w:lineRule="auto"/>
              <w:rPr>
                <w:rFonts w:hint="eastAsia" w:ascii="宋体" w:hAnsi="宋体" w:eastAsia="宋体" w:cs="宋体"/>
                <w:color w:val="auto"/>
                <w:sz w:val="21"/>
                <w:szCs w:val="21"/>
                <w:lang w:val="zh-CN" w:bidi="zh-CN"/>
              </w:rPr>
            </w:pPr>
          </w:p>
        </w:tc>
      </w:tr>
      <w:tr w14:paraId="2889A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281" w:type="pct"/>
            <w:noWrap w:val="0"/>
            <w:vAlign w:val="top"/>
          </w:tcPr>
          <w:p w14:paraId="3A6CDD10">
            <w:pPr>
              <w:widowControl w:val="0"/>
              <w:autoSpaceDE w:val="0"/>
              <w:autoSpaceDN w:val="0"/>
              <w:spacing w:line="360" w:lineRule="auto"/>
              <w:rPr>
                <w:rFonts w:hint="eastAsia" w:ascii="宋体" w:hAnsi="宋体" w:eastAsia="宋体" w:cs="宋体"/>
                <w:color w:val="auto"/>
                <w:sz w:val="21"/>
                <w:szCs w:val="21"/>
                <w:lang w:val="zh-CN" w:bidi="zh-CN"/>
              </w:rPr>
            </w:pPr>
            <w:r>
              <w:rPr>
                <w:rFonts w:hint="eastAsia" w:ascii="宋体" w:hAnsi="宋体" w:eastAsia="宋体" w:cs="宋体"/>
                <w:color w:val="auto"/>
                <w:sz w:val="21"/>
                <w:szCs w:val="21"/>
                <w:lang w:val="zh-CN" w:bidi="zh-CN"/>
              </w:rPr>
              <w:t>高压进线开关柜</w:t>
            </w:r>
          </w:p>
        </w:tc>
        <w:tc>
          <w:tcPr>
            <w:tcW w:w="949" w:type="pct"/>
            <w:noWrap w:val="0"/>
            <w:vAlign w:val="top"/>
          </w:tcPr>
          <w:p w14:paraId="631D7D85">
            <w:pPr>
              <w:widowControl w:val="0"/>
              <w:autoSpaceDE w:val="0"/>
              <w:autoSpaceDN w:val="0"/>
              <w:spacing w:line="360" w:lineRule="auto"/>
              <w:rPr>
                <w:rFonts w:hint="eastAsia" w:ascii="宋体" w:hAnsi="宋体" w:eastAsia="宋体" w:cs="宋体"/>
                <w:color w:val="auto"/>
                <w:sz w:val="21"/>
                <w:szCs w:val="21"/>
                <w:lang w:val="zh-CN" w:bidi="zh-CN"/>
              </w:rPr>
            </w:pPr>
            <w:r>
              <w:rPr>
                <w:rFonts w:hint="eastAsia" w:ascii="宋体" w:hAnsi="宋体" w:cs="宋体"/>
                <w:color w:val="auto"/>
                <w:sz w:val="21"/>
                <w:szCs w:val="21"/>
                <w:lang w:val="en-US" w:bidi="zh-CN"/>
              </w:rPr>
              <w:t>/</w:t>
            </w:r>
          </w:p>
        </w:tc>
        <w:tc>
          <w:tcPr>
            <w:tcW w:w="874" w:type="pct"/>
            <w:noWrap w:val="0"/>
            <w:vAlign w:val="top"/>
          </w:tcPr>
          <w:p w14:paraId="75C5DA2F">
            <w:pPr>
              <w:widowControl w:val="0"/>
              <w:autoSpaceDE w:val="0"/>
              <w:autoSpaceDN w:val="0"/>
              <w:spacing w:line="360" w:lineRule="auto"/>
              <w:rPr>
                <w:rFonts w:hint="eastAsia" w:ascii="宋体" w:hAnsi="宋体" w:eastAsia="宋体" w:cs="宋体"/>
                <w:color w:val="auto"/>
                <w:sz w:val="21"/>
                <w:szCs w:val="21"/>
                <w:lang w:val="zh-CN" w:bidi="zh-CN"/>
              </w:rPr>
            </w:pPr>
            <w:r>
              <w:rPr>
                <w:rFonts w:hint="eastAsia" w:ascii="宋体" w:hAnsi="宋体" w:eastAsia="宋体" w:cs="宋体"/>
                <w:color w:val="auto"/>
                <w:sz w:val="21"/>
                <w:szCs w:val="21"/>
                <w:lang w:val="zh-CN" w:bidi="zh-CN"/>
              </w:rPr>
              <w:t>组</w:t>
            </w:r>
          </w:p>
        </w:tc>
        <w:tc>
          <w:tcPr>
            <w:tcW w:w="972" w:type="pct"/>
            <w:noWrap w:val="0"/>
            <w:vAlign w:val="top"/>
          </w:tcPr>
          <w:p w14:paraId="396601A9">
            <w:pPr>
              <w:widowControl w:val="0"/>
              <w:autoSpaceDE w:val="0"/>
              <w:autoSpaceDN w:val="0"/>
              <w:spacing w:line="360" w:lineRule="auto"/>
              <w:rPr>
                <w:rFonts w:hint="default" w:ascii="宋体" w:hAnsi="宋体" w:eastAsia="宋体" w:cs="宋体"/>
                <w:color w:val="auto"/>
                <w:sz w:val="21"/>
                <w:szCs w:val="21"/>
                <w:lang w:val="en-US" w:bidi="zh-CN"/>
              </w:rPr>
            </w:pPr>
            <w:r>
              <w:rPr>
                <w:rFonts w:hint="eastAsia" w:ascii="宋体" w:hAnsi="宋体" w:cs="宋体"/>
                <w:color w:val="auto"/>
                <w:sz w:val="21"/>
                <w:szCs w:val="21"/>
                <w:lang w:val="en-US" w:bidi="zh-CN"/>
              </w:rPr>
              <w:t>11</w:t>
            </w:r>
          </w:p>
        </w:tc>
        <w:tc>
          <w:tcPr>
            <w:tcW w:w="921" w:type="pct"/>
            <w:noWrap w:val="0"/>
            <w:vAlign w:val="top"/>
          </w:tcPr>
          <w:p w14:paraId="137BDFE1">
            <w:pPr>
              <w:widowControl w:val="0"/>
              <w:autoSpaceDE w:val="0"/>
              <w:autoSpaceDN w:val="0"/>
              <w:spacing w:line="360" w:lineRule="auto"/>
              <w:rPr>
                <w:rFonts w:hint="eastAsia" w:ascii="宋体" w:hAnsi="宋体" w:eastAsia="宋体" w:cs="宋体"/>
                <w:color w:val="auto"/>
                <w:sz w:val="21"/>
                <w:szCs w:val="21"/>
                <w:lang w:val="zh-CN" w:bidi="zh-CN"/>
              </w:rPr>
            </w:pPr>
          </w:p>
        </w:tc>
      </w:tr>
      <w:tr w14:paraId="558FB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281" w:type="pct"/>
            <w:noWrap w:val="0"/>
            <w:vAlign w:val="top"/>
          </w:tcPr>
          <w:p w14:paraId="3F44A2CE">
            <w:pPr>
              <w:widowControl w:val="0"/>
              <w:autoSpaceDE w:val="0"/>
              <w:autoSpaceDN w:val="0"/>
              <w:spacing w:line="360" w:lineRule="auto"/>
              <w:rPr>
                <w:rFonts w:hint="eastAsia" w:ascii="宋体" w:hAnsi="宋体" w:eastAsia="宋体" w:cs="宋体"/>
                <w:color w:val="auto"/>
                <w:sz w:val="21"/>
                <w:szCs w:val="21"/>
                <w:lang w:val="zh-CN" w:bidi="zh-CN"/>
              </w:rPr>
            </w:pPr>
            <w:r>
              <w:rPr>
                <w:rFonts w:hint="eastAsia" w:ascii="宋体" w:hAnsi="宋体" w:eastAsia="宋体" w:cs="宋体"/>
                <w:color w:val="auto"/>
                <w:sz w:val="21"/>
                <w:szCs w:val="21"/>
                <w:lang w:val="zh-CN" w:bidi="zh-CN"/>
              </w:rPr>
              <w:t>变压器</w:t>
            </w:r>
          </w:p>
        </w:tc>
        <w:tc>
          <w:tcPr>
            <w:tcW w:w="949" w:type="pct"/>
            <w:noWrap w:val="0"/>
            <w:vAlign w:val="top"/>
          </w:tcPr>
          <w:p w14:paraId="32636882">
            <w:pPr>
              <w:widowControl w:val="0"/>
              <w:autoSpaceDE w:val="0"/>
              <w:autoSpaceDN w:val="0"/>
              <w:spacing w:line="360" w:lineRule="auto"/>
              <w:rPr>
                <w:rFonts w:hint="eastAsia" w:ascii="宋体" w:hAnsi="宋体" w:eastAsia="宋体" w:cs="宋体"/>
                <w:color w:val="auto"/>
                <w:sz w:val="21"/>
                <w:szCs w:val="21"/>
                <w:lang w:val="zh-CN" w:bidi="zh-CN"/>
              </w:rPr>
            </w:pPr>
            <w:r>
              <w:rPr>
                <w:rFonts w:hint="eastAsia" w:ascii="宋体" w:hAnsi="宋体" w:cs="宋体"/>
                <w:color w:val="auto"/>
                <w:sz w:val="21"/>
                <w:szCs w:val="21"/>
                <w:lang w:val="en-US" w:bidi="zh-CN"/>
              </w:rPr>
              <w:t>20</w:t>
            </w:r>
            <w:r>
              <w:rPr>
                <w:rFonts w:hint="eastAsia" w:ascii="宋体" w:hAnsi="宋体" w:eastAsia="宋体" w:cs="宋体"/>
                <w:color w:val="auto"/>
                <w:sz w:val="21"/>
                <w:szCs w:val="21"/>
                <w:lang w:val="zh-CN" w:bidi="zh-CN"/>
              </w:rPr>
              <w:t>00KVA</w:t>
            </w:r>
          </w:p>
        </w:tc>
        <w:tc>
          <w:tcPr>
            <w:tcW w:w="874" w:type="pct"/>
            <w:noWrap w:val="0"/>
            <w:vAlign w:val="top"/>
          </w:tcPr>
          <w:p w14:paraId="4C3EACF6">
            <w:pPr>
              <w:widowControl w:val="0"/>
              <w:autoSpaceDE w:val="0"/>
              <w:autoSpaceDN w:val="0"/>
              <w:spacing w:line="360" w:lineRule="auto"/>
              <w:rPr>
                <w:rFonts w:hint="eastAsia" w:ascii="宋体" w:hAnsi="宋体" w:eastAsia="宋体" w:cs="宋体"/>
                <w:color w:val="auto"/>
                <w:sz w:val="21"/>
                <w:szCs w:val="21"/>
                <w:lang w:val="zh-CN" w:bidi="zh-CN"/>
              </w:rPr>
            </w:pPr>
            <w:r>
              <w:rPr>
                <w:rFonts w:hint="eastAsia" w:ascii="宋体" w:hAnsi="宋体" w:eastAsia="宋体" w:cs="宋体"/>
                <w:color w:val="auto"/>
                <w:sz w:val="21"/>
                <w:szCs w:val="21"/>
                <w:lang w:val="zh-CN" w:bidi="zh-CN"/>
              </w:rPr>
              <w:t>台</w:t>
            </w:r>
          </w:p>
        </w:tc>
        <w:tc>
          <w:tcPr>
            <w:tcW w:w="972" w:type="pct"/>
            <w:noWrap w:val="0"/>
            <w:vAlign w:val="top"/>
          </w:tcPr>
          <w:p w14:paraId="4138CF87">
            <w:pPr>
              <w:widowControl w:val="0"/>
              <w:autoSpaceDE w:val="0"/>
              <w:autoSpaceDN w:val="0"/>
              <w:spacing w:line="360" w:lineRule="auto"/>
              <w:rPr>
                <w:rFonts w:hint="default" w:ascii="宋体" w:hAnsi="宋体" w:eastAsia="宋体" w:cs="宋体"/>
                <w:color w:val="auto"/>
                <w:sz w:val="21"/>
                <w:szCs w:val="21"/>
                <w:lang w:val="en-US" w:bidi="zh-CN"/>
              </w:rPr>
            </w:pPr>
            <w:r>
              <w:rPr>
                <w:rFonts w:hint="eastAsia" w:ascii="宋体" w:hAnsi="宋体" w:cs="宋体"/>
                <w:color w:val="auto"/>
                <w:sz w:val="21"/>
                <w:szCs w:val="21"/>
                <w:lang w:val="en-US" w:bidi="zh-CN"/>
              </w:rPr>
              <w:t>4</w:t>
            </w:r>
          </w:p>
        </w:tc>
        <w:tc>
          <w:tcPr>
            <w:tcW w:w="921" w:type="pct"/>
            <w:noWrap w:val="0"/>
            <w:vAlign w:val="top"/>
          </w:tcPr>
          <w:p w14:paraId="78F045E8">
            <w:pPr>
              <w:widowControl w:val="0"/>
              <w:autoSpaceDE w:val="0"/>
              <w:autoSpaceDN w:val="0"/>
              <w:spacing w:line="360" w:lineRule="auto"/>
              <w:rPr>
                <w:rFonts w:hint="eastAsia" w:ascii="宋体" w:hAnsi="宋体" w:eastAsia="宋体" w:cs="宋体"/>
                <w:color w:val="auto"/>
                <w:sz w:val="21"/>
                <w:szCs w:val="21"/>
                <w:lang w:val="zh-CN" w:bidi="zh-CN"/>
              </w:rPr>
            </w:pPr>
          </w:p>
        </w:tc>
      </w:tr>
      <w:tr w14:paraId="687D4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281" w:type="pct"/>
            <w:noWrap w:val="0"/>
            <w:vAlign w:val="top"/>
          </w:tcPr>
          <w:p w14:paraId="3EE665B8">
            <w:pPr>
              <w:widowControl w:val="0"/>
              <w:autoSpaceDE w:val="0"/>
              <w:autoSpaceDN w:val="0"/>
              <w:spacing w:line="360" w:lineRule="auto"/>
              <w:rPr>
                <w:rFonts w:hint="eastAsia" w:ascii="宋体" w:hAnsi="宋体" w:eastAsia="宋体" w:cs="宋体"/>
                <w:color w:val="auto"/>
                <w:sz w:val="21"/>
                <w:szCs w:val="21"/>
                <w:lang w:val="zh-CN" w:bidi="zh-CN"/>
              </w:rPr>
            </w:pPr>
            <w:r>
              <w:rPr>
                <w:rFonts w:hint="eastAsia" w:ascii="宋体" w:hAnsi="宋体" w:eastAsia="宋体" w:cs="宋体"/>
                <w:color w:val="auto"/>
                <w:sz w:val="21"/>
                <w:szCs w:val="21"/>
                <w:lang w:val="zh-CN" w:bidi="zh-CN"/>
              </w:rPr>
              <w:t>直流屏</w:t>
            </w:r>
          </w:p>
        </w:tc>
        <w:tc>
          <w:tcPr>
            <w:tcW w:w="949" w:type="pct"/>
            <w:noWrap w:val="0"/>
            <w:vAlign w:val="top"/>
          </w:tcPr>
          <w:p w14:paraId="2716FB83">
            <w:pPr>
              <w:widowControl w:val="0"/>
              <w:autoSpaceDE w:val="0"/>
              <w:autoSpaceDN w:val="0"/>
              <w:spacing w:line="360" w:lineRule="auto"/>
              <w:rPr>
                <w:rFonts w:hint="default" w:ascii="宋体" w:hAnsi="宋体" w:eastAsia="宋体" w:cs="宋体"/>
                <w:color w:val="auto"/>
                <w:sz w:val="21"/>
                <w:szCs w:val="21"/>
                <w:lang w:val="en-US" w:bidi="zh-CN"/>
              </w:rPr>
            </w:pPr>
            <w:r>
              <w:rPr>
                <w:rFonts w:hint="eastAsia" w:ascii="宋体" w:hAnsi="宋体" w:cs="宋体"/>
                <w:color w:val="auto"/>
                <w:sz w:val="21"/>
                <w:szCs w:val="21"/>
                <w:lang w:val="en-US" w:bidi="zh-CN"/>
              </w:rPr>
              <w:t>/</w:t>
            </w:r>
          </w:p>
        </w:tc>
        <w:tc>
          <w:tcPr>
            <w:tcW w:w="874" w:type="pct"/>
            <w:noWrap w:val="0"/>
            <w:vAlign w:val="top"/>
          </w:tcPr>
          <w:p w14:paraId="0BF762C4">
            <w:pPr>
              <w:widowControl w:val="0"/>
              <w:autoSpaceDE w:val="0"/>
              <w:autoSpaceDN w:val="0"/>
              <w:spacing w:line="360" w:lineRule="auto"/>
              <w:rPr>
                <w:rFonts w:hint="eastAsia" w:ascii="宋体" w:hAnsi="宋体" w:eastAsia="宋体" w:cs="宋体"/>
                <w:color w:val="auto"/>
                <w:sz w:val="21"/>
                <w:szCs w:val="21"/>
                <w:lang w:val="zh-CN" w:bidi="zh-CN"/>
              </w:rPr>
            </w:pPr>
            <w:r>
              <w:rPr>
                <w:rFonts w:hint="eastAsia" w:ascii="宋体" w:hAnsi="宋体" w:eastAsia="宋体" w:cs="宋体"/>
                <w:color w:val="auto"/>
                <w:sz w:val="21"/>
                <w:szCs w:val="21"/>
                <w:lang w:val="zh-CN" w:bidi="zh-CN"/>
              </w:rPr>
              <w:t>组</w:t>
            </w:r>
          </w:p>
        </w:tc>
        <w:tc>
          <w:tcPr>
            <w:tcW w:w="972" w:type="pct"/>
            <w:noWrap w:val="0"/>
            <w:vAlign w:val="top"/>
          </w:tcPr>
          <w:p w14:paraId="3A70D199">
            <w:pPr>
              <w:widowControl w:val="0"/>
              <w:autoSpaceDE w:val="0"/>
              <w:autoSpaceDN w:val="0"/>
              <w:spacing w:line="360" w:lineRule="auto"/>
              <w:rPr>
                <w:rFonts w:hint="eastAsia" w:ascii="宋体" w:hAnsi="宋体" w:eastAsia="宋体" w:cs="宋体"/>
                <w:color w:val="auto"/>
                <w:sz w:val="21"/>
                <w:szCs w:val="21"/>
                <w:lang w:val="zh-CN" w:bidi="zh-CN"/>
              </w:rPr>
            </w:pPr>
          </w:p>
        </w:tc>
        <w:tc>
          <w:tcPr>
            <w:tcW w:w="921" w:type="pct"/>
            <w:noWrap w:val="0"/>
            <w:vAlign w:val="top"/>
          </w:tcPr>
          <w:p w14:paraId="42EDF129">
            <w:pPr>
              <w:widowControl w:val="0"/>
              <w:autoSpaceDE w:val="0"/>
              <w:autoSpaceDN w:val="0"/>
              <w:spacing w:line="360" w:lineRule="auto"/>
              <w:rPr>
                <w:rFonts w:hint="eastAsia" w:ascii="宋体" w:hAnsi="宋体" w:eastAsia="宋体" w:cs="宋体"/>
                <w:color w:val="auto"/>
                <w:sz w:val="21"/>
                <w:szCs w:val="21"/>
                <w:lang w:val="zh-CN" w:bidi="zh-CN"/>
              </w:rPr>
            </w:pPr>
          </w:p>
        </w:tc>
      </w:tr>
      <w:tr w14:paraId="7CCCA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281" w:type="pct"/>
            <w:noWrap w:val="0"/>
            <w:vAlign w:val="top"/>
          </w:tcPr>
          <w:p w14:paraId="44AF39D9">
            <w:pPr>
              <w:widowControl w:val="0"/>
              <w:autoSpaceDE w:val="0"/>
              <w:autoSpaceDN w:val="0"/>
              <w:spacing w:line="360" w:lineRule="auto"/>
              <w:rPr>
                <w:rFonts w:hint="eastAsia" w:ascii="宋体" w:hAnsi="宋体" w:eastAsia="宋体" w:cs="宋体"/>
                <w:color w:val="auto"/>
                <w:sz w:val="21"/>
                <w:szCs w:val="21"/>
                <w:lang w:val="zh-CN" w:bidi="zh-CN"/>
              </w:rPr>
            </w:pPr>
            <w:r>
              <w:rPr>
                <w:rFonts w:hint="eastAsia" w:ascii="宋体" w:hAnsi="宋体" w:eastAsia="宋体" w:cs="宋体"/>
                <w:color w:val="auto"/>
                <w:sz w:val="21"/>
                <w:szCs w:val="21"/>
                <w:lang w:val="zh-CN" w:bidi="zh-CN"/>
              </w:rPr>
              <w:t>低压配电柜</w:t>
            </w:r>
          </w:p>
        </w:tc>
        <w:tc>
          <w:tcPr>
            <w:tcW w:w="949" w:type="pct"/>
            <w:noWrap w:val="0"/>
            <w:vAlign w:val="top"/>
          </w:tcPr>
          <w:p w14:paraId="6FA5797A">
            <w:pPr>
              <w:widowControl w:val="0"/>
              <w:autoSpaceDE w:val="0"/>
              <w:autoSpaceDN w:val="0"/>
              <w:spacing w:line="360" w:lineRule="auto"/>
              <w:rPr>
                <w:rFonts w:hint="eastAsia" w:ascii="宋体" w:hAnsi="宋体" w:eastAsia="宋体" w:cs="宋体"/>
                <w:color w:val="auto"/>
                <w:sz w:val="21"/>
                <w:szCs w:val="21"/>
                <w:lang w:val="zh-CN" w:bidi="zh-CN"/>
              </w:rPr>
            </w:pPr>
            <w:r>
              <w:rPr>
                <w:rFonts w:hint="eastAsia" w:ascii="宋体" w:hAnsi="宋体" w:cs="宋体"/>
                <w:color w:val="auto"/>
                <w:sz w:val="21"/>
                <w:szCs w:val="21"/>
                <w:lang w:val="en-US" w:bidi="zh-CN"/>
              </w:rPr>
              <w:t>/</w:t>
            </w:r>
          </w:p>
        </w:tc>
        <w:tc>
          <w:tcPr>
            <w:tcW w:w="874" w:type="pct"/>
            <w:noWrap w:val="0"/>
            <w:vAlign w:val="top"/>
          </w:tcPr>
          <w:p w14:paraId="2B1DF9BA">
            <w:pPr>
              <w:widowControl w:val="0"/>
              <w:autoSpaceDE w:val="0"/>
              <w:autoSpaceDN w:val="0"/>
              <w:spacing w:line="360" w:lineRule="auto"/>
              <w:rPr>
                <w:rFonts w:hint="eastAsia" w:ascii="宋体" w:hAnsi="宋体" w:eastAsia="宋体" w:cs="宋体"/>
                <w:color w:val="auto"/>
                <w:sz w:val="21"/>
                <w:szCs w:val="21"/>
                <w:lang w:val="zh-CN" w:bidi="zh-CN"/>
              </w:rPr>
            </w:pPr>
            <w:r>
              <w:rPr>
                <w:rFonts w:hint="eastAsia" w:ascii="宋体" w:hAnsi="宋体" w:eastAsia="宋体" w:cs="宋体"/>
                <w:color w:val="auto"/>
                <w:sz w:val="21"/>
                <w:szCs w:val="21"/>
                <w:lang w:val="zh-CN" w:bidi="zh-CN"/>
              </w:rPr>
              <w:t>组</w:t>
            </w:r>
          </w:p>
        </w:tc>
        <w:tc>
          <w:tcPr>
            <w:tcW w:w="972" w:type="pct"/>
            <w:noWrap w:val="0"/>
            <w:vAlign w:val="top"/>
          </w:tcPr>
          <w:p w14:paraId="0C428D8F">
            <w:pPr>
              <w:widowControl w:val="0"/>
              <w:autoSpaceDE w:val="0"/>
              <w:autoSpaceDN w:val="0"/>
              <w:spacing w:line="360" w:lineRule="auto"/>
              <w:rPr>
                <w:rFonts w:hint="default" w:ascii="宋体" w:hAnsi="宋体" w:eastAsia="宋体" w:cs="宋体"/>
                <w:color w:val="auto"/>
                <w:sz w:val="21"/>
                <w:szCs w:val="21"/>
                <w:lang w:val="en-US" w:bidi="zh-CN"/>
              </w:rPr>
            </w:pPr>
            <w:r>
              <w:rPr>
                <w:rFonts w:hint="eastAsia" w:ascii="宋体" w:hAnsi="宋体" w:cs="宋体"/>
                <w:color w:val="auto"/>
                <w:sz w:val="21"/>
                <w:szCs w:val="21"/>
                <w:lang w:val="en-US" w:bidi="zh-CN"/>
              </w:rPr>
              <w:t>59</w:t>
            </w:r>
          </w:p>
        </w:tc>
        <w:tc>
          <w:tcPr>
            <w:tcW w:w="921" w:type="pct"/>
            <w:noWrap w:val="0"/>
            <w:vAlign w:val="top"/>
          </w:tcPr>
          <w:p w14:paraId="06CE8382">
            <w:pPr>
              <w:widowControl w:val="0"/>
              <w:autoSpaceDE w:val="0"/>
              <w:autoSpaceDN w:val="0"/>
              <w:spacing w:line="360" w:lineRule="auto"/>
              <w:rPr>
                <w:rFonts w:hint="eastAsia" w:ascii="宋体" w:hAnsi="宋体" w:eastAsia="宋体" w:cs="宋体"/>
                <w:color w:val="auto"/>
                <w:sz w:val="21"/>
                <w:szCs w:val="21"/>
                <w:lang w:val="zh-CN" w:bidi="zh-CN"/>
              </w:rPr>
            </w:pPr>
          </w:p>
        </w:tc>
      </w:tr>
    </w:tbl>
    <w:p w14:paraId="57B06A76">
      <w:pPr>
        <w:widowControl/>
        <w:jc w:val="center"/>
        <w:rPr>
          <w:rFonts w:hint="eastAsia" w:ascii="宋体" w:hAnsi="宋体" w:eastAsia="宋体" w:cs="宋体"/>
          <w:color w:val="000000"/>
          <w:kern w:val="0"/>
          <w:sz w:val="24"/>
          <w:szCs w:val="24"/>
          <w:lang w:val="en-US" w:eastAsia="zh-CN"/>
        </w:rPr>
      </w:pPr>
    </w:p>
    <w:p w14:paraId="33A16481">
      <w:pPr>
        <w:widowControl/>
        <w:jc w:val="center"/>
        <w:rPr>
          <w:rFonts w:hint="default" w:ascii="宋体" w:hAnsi="宋体" w:eastAsia="宋体" w:cs="宋体"/>
          <w:b/>
          <w:bCs/>
          <w:color w:val="000000"/>
          <w:kern w:val="0"/>
          <w:sz w:val="21"/>
          <w:szCs w:val="21"/>
          <w:lang w:val="en-US" w:eastAsia="zh-CN"/>
        </w:rPr>
      </w:pPr>
      <w:r>
        <w:rPr>
          <w:rFonts w:hint="eastAsia" w:ascii="宋体" w:hAnsi="宋体" w:cs="宋体"/>
          <w:b/>
          <w:bCs/>
          <w:color w:val="000000"/>
          <w:kern w:val="0"/>
          <w:sz w:val="21"/>
          <w:szCs w:val="21"/>
          <w:lang w:val="en-US" w:eastAsia="zh-CN"/>
        </w:rPr>
        <w:t>发电机房</w:t>
      </w:r>
    </w:p>
    <w:tbl>
      <w:tblPr>
        <w:tblStyle w:val="8"/>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84"/>
        <w:gridCol w:w="1618"/>
        <w:gridCol w:w="1490"/>
        <w:gridCol w:w="1657"/>
        <w:gridCol w:w="1570"/>
      </w:tblGrid>
      <w:tr w14:paraId="03F7F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1281" w:type="pct"/>
            <w:noWrap w:val="0"/>
            <w:vAlign w:val="top"/>
          </w:tcPr>
          <w:p w14:paraId="655282EE">
            <w:pPr>
              <w:widowControl w:val="0"/>
              <w:autoSpaceDE w:val="0"/>
              <w:autoSpaceDN w:val="0"/>
              <w:spacing w:line="360" w:lineRule="auto"/>
              <w:rPr>
                <w:rFonts w:hint="eastAsia" w:ascii="宋体" w:hAnsi="宋体" w:eastAsia="宋体" w:cs="宋体"/>
                <w:b/>
                <w:color w:val="auto"/>
                <w:sz w:val="21"/>
                <w:szCs w:val="21"/>
                <w:lang w:val="zh-CN" w:bidi="zh-CN"/>
              </w:rPr>
            </w:pPr>
            <w:r>
              <w:rPr>
                <w:rFonts w:hint="eastAsia" w:ascii="宋体" w:hAnsi="宋体" w:cs="宋体"/>
                <w:b/>
                <w:color w:val="auto"/>
                <w:sz w:val="21"/>
                <w:szCs w:val="21"/>
                <w:lang w:val="en-US" w:bidi="zh-CN"/>
              </w:rPr>
              <w:t>位置</w:t>
            </w:r>
            <w:r>
              <w:rPr>
                <w:rFonts w:hint="eastAsia" w:ascii="宋体" w:hAnsi="宋体" w:eastAsia="宋体" w:cs="宋体"/>
                <w:b/>
                <w:color w:val="auto"/>
                <w:sz w:val="21"/>
                <w:szCs w:val="21"/>
                <w:lang w:val="zh-CN" w:bidi="zh-CN"/>
              </w:rPr>
              <w:tab/>
            </w:r>
          </w:p>
        </w:tc>
        <w:tc>
          <w:tcPr>
            <w:tcW w:w="949" w:type="pct"/>
            <w:noWrap w:val="0"/>
            <w:vAlign w:val="top"/>
          </w:tcPr>
          <w:p w14:paraId="7AB3FB85">
            <w:pPr>
              <w:widowControl w:val="0"/>
              <w:autoSpaceDE w:val="0"/>
              <w:autoSpaceDN w:val="0"/>
              <w:spacing w:line="360" w:lineRule="auto"/>
              <w:rPr>
                <w:rFonts w:hint="default" w:ascii="宋体" w:hAnsi="宋体" w:eastAsia="宋体" w:cs="宋体"/>
                <w:b/>
                <w:color w:val="auto"/>
                <w:sz w:val="21"/>
                <w:szCs w:val="21"/>
                <w:lang w:val="en-US" w:bidi="zh-CN"/>
              </w:rPr>
            </w:pPr>
            <w:r>
              <w:rPr>
                <w:rFonts w:hint="eastAsia" w:ascii="宋体" w:hAnsi="宋体" w:cs="宋体"/>
                <w:b/>
                <w:color w:val="auto"/>
                <w:sz w:val="21"/>
                <w:szCs w:val="21"/>
                <w:lang w:val="en-US" w:bidi="zh-CN"/>
              </w:rPr>
              <w:t>品牌</w:t>
            </w:r>
          </w:p>
        </w:tc>
        <w:tc>
          <w:tcPr>
            <w:tcW w:w="874" w:type="pct"/>
            <w:noWrap w:val="0"/>
            <w:vAlign w:val="top"/>
          </w:tcPr>
          <w:p w14:paraId="6540BE02">
            <w:pPr>
              <w:widowControl w:val="0"/>
              <w:autoSpaceDE w:val="0"/>
              <w:autoSpaceDN w:val="0"/>
              <w:spacing w:line="360" w:lineRule="auto"/>
              <w:rPr>
                <w:rFonts w:hint="eastAsia" w:ascii="宋体" w:hAnsi="宋体" w:eastAsia="宋体" w:cs="宋体"/>
                <w:b/>
                <w:color w:val="auto"/>
                <w:sz w:val="21"/>
                <w:szCs w:val="21"/>
                <w:lang w:val="zh-CN" w:bidi="zh-CN"/>
              </w:rPr>
            </w:pPr>
            <w:r>
              <w:rPr>
                <w:rFonts w:hint="eastAsia" w:ascii="宋体" w:hAnsi="宋体" w:cs="宋体"/>
                <w:b/>
                <w:color w:val="auto"/>
                <w:sz w:val="21"/>
                <w:szCs w:val="21"/>
                <w:lang w:val="en-US" w:bidi="zh-CN"/>
              </w:rPr>
              <w:t>功率（KVA）</w:t>
            </w:r>
          </w:p>
        </w:tc>
        <w:tc>
          <w:tcPr>
            <w:tcW w:w="972" w:type="pct"/>
            <w:noWrap w:val="0"/>
            <w:vAlign w:val="top"/>
          </w:tcPr>
          <w:p w14:paraId="4D99D038">
            <w:pPr>
              <w:widowControl w:val="0"/>
              <w:autoSpaceDE w:val="0"/>
              <w:autoSpaceDN w:val="0"/>
              <w:spacing w:line="360" w:lineRule="auto"/>
              <w:rPr>
                <w:rFonts w:hint="eastAsia" w:ascii="宋体" w:hAnsi="宋体" w:eastAsia="宋体" w:cs="宋体"/>
                <w:b/>
                <w:color w:val="auto"/>
                <w:sz w:val="21"/>
                <w:szCs w:val="21"/>
                <w:lang w:val="zh-CN" w:bidi="zh-CN"/>
              </w:rPr>
            </w:pPr>
            <w:r>
              <w:rPr>
                <w:rFonts w:hint="eastAsia" w:ascii="宋体" w:hAnsi="宋体" w:eastAsia="宋体" w:cs="宋体"/>
                <w:b/>
                <w:color w:val="auto"/>
                <w:sz w:val="21"/>
                <w:szCs w:val="21"/>
                <w:lang w:val="zh-CN" w:bidi="zh-CN"/>
              </w:rPr>
              <w:t>数量</w:t>
            </w:r>
            <w:r>
              <w:rPr>
                <w:rFonts w:hint="eastAsia" w:ascii="宋体" w:hAnsi="宋体" w:cs="宋体"/>
                <w:b/>
                <w:color w:val="auto"/>
                <w:sz w:val="21"/>
                <w:szCs w:val="21"/>
                <w:lang w:val="zh-CN" w:bidi="zh-CN"/>
              </w:rPr>
              <w:t>（</w:t>
            </w:r>
            <w:r>
              <w:rPr>
                <w:rFonts w:hint="eastAsia" w:ascii="宋体" w:hAnsi="宋体" w:cs="宋体"/>
                <w:b/>
                <w:color w:val="auto"/>
                <w:sz w:val="21"/>
                <w:szCs w:val="21"/>
                <w:lang w:val="en-US" w:bidi="zh-CN"/>
              </w:rPr>
              <w:t>台</w:t>
            </w:r>
            <w:r>
              <w:rPr>
                <w:rFonts w:hint="eastAsia" w:ascii="宋体" w:hAnsi="宋体" w:cs="宋体"/>
                <w:b/>
                <w:color w:val="auto"/>
                <w:sz w:val="21"/>
                <w:szCs w:val="21"/>
                <w:lang w:val="zh-CN" w:bidi="zh-CN"/>
              </w:rPr>
              <w:t>）</w:t>
            </w:r>
          </w:p>
        </w:tc>
        <w:tc>
          <w:tcPr>
            <w:tcW w:w="921" w:type="pct"/>
            <w:noWrap w:val="0"/>
            <w:vAlign w:val="top"/>
          </w:tcPr>
          <w:p w14:paraId="4ADF897F">
            <w:pPr>
              <w:widowControl w:val="0"/>
              <w:autoSpaceDE w:val="0"/>
              <w:autoSpaceDN w:val="0"/>
              <w:spacing w:line="360" w:lineRule="auto"/>
              <w:rPr>
                <w:rFonts w:hint="eastAsia" w:ascii="宋体" w:hAnsi="宋体" w:eastAsia="宋体" w:cs="宋体"/>
                <w:b/>
                <w:color w:val="auto"/>
                <w:sz w:val="21"/>
                <w:szCs w:val="21"/>
                <w:lang w:val="zh-CN" w:bidi="zh-CN"/>
              </w:rPr>
            </w:pPr>
            <w:r>
              <w:rPr>
                <w:rFonts w:hint="eastAsia" w:ascii="宋体" w:hAnsi="宋体" w:cs="宋体"/>
                <w:b/>
                <w:color w:val="auto"/>
                <w:sz w:val="21"/>
                <w:szCs w:val="21"/>
                <w:lang w:val="en-US" w:bidi="zh-CN"/>
              </w:rPr>
              <w:t>低压柜（面）</w:t>
            </w:r>
          </w:p>
        </w:tc>
      </w:tr>
      <w:tr w14:paraId="44CE7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281" w:type="pct"/>
            <w:noWrap w:val="0"/>
            <w:vAlign w:val="top"/>
          </w:tcPr>
          <w:p w14:paraId="3FAADC61">
            <w:pPr>
              <w:widowControl w:val="0"/>
              <w:autoSpaceDE w:val="0"/>
              <w:autoSpaceDN w:val="0"/>
              <w:spacing w:line="360" w:lineRule="auto"/>
              <w:rPr>
                <w:rFonts w:hint="eastAsia" w:ascii="宋体" w:hAnsi="宋体" w:eastAsia="宋体" w:cs="宋体"/>
                <w:color w:val="auto"/>
                <w:sz w:val="21"/>
                <w:szCs w:val="21"/>
                <w:lang w:val="zh-CN" w:bidi="zh-CN"/>
              </w:rPr>
            </w:pPr>
            <w:r>
              <w:rPr>
                <w:rFonts w:hint="eastAsia" w:ascii="宋体" w:hAnsi="宋体" w:eastAsia="宋体" w:cs="宋体"/>
                <w:color w:val="auto"/>
                <w:sz w:val="21"/>
                <w:szCs w:val="21"/>
                <w:lang w:val="zh-CN" w:bidi="zh-CN"/>
              </w:rPr>
              <w:t>旧楼区域</w:t>
            </w:r>
          </w:p>
        </w:tc>
        <w:tc>
          <w:tcPr>
            <w:tcW w:w="949" w:type="pct"/>
            <w:noWrap w:val="0"/>
            <w:vAlign w:val="top"/>
          </w:tcPr>
          <w:p w14:paraId="07A4E60F">
            <w:pPr>
              <w:widowControl w:val="0"/>
              <w:autoSpaceDE w:val="0"/>
              <w:autoSpaceDN w:val="0"/>
              <w:spacing w:line="360" w:lineRule="auto"/>
              <w:rPr>
                <w:rFonts w:hint="default" w:ascii="宋体" w:hAnsi="宋体" w:eastAsia="宋体" w:cs="宋体"/>
                <w:color w:val="auto"/>
                <w:sz w:val="21"/>
                <w:szCs w:val="21"/>
                <w:lang w:val="en-US" w:bidi="zh-CN"/>
              </w:rPr>
            </w:pPr>
            <w:r>
              <w:rPr>
                <w:rFonts w:hint="eastAsia" w:ascii="宋体" w:hAnsi="宋体" w:cs="宋体"/>
                <w:color w:val="auto"/>
                <w:sz w:val="21"/>
                <w:szCs w:val="21"/>
                <w:lang w:val="en-US" w:bidi="zh-CN"/>
              </w:rPr>
              <w:t>无锡动力</w:t>
            </w:r>
          </w:p>
        </w:tc>
        <w:tc>
          <w:tcPr>
            <w:tcW w:w="874" w:type="pct"/>
            <w:noWrap w:val="0"/>
            <w:vAlign w:val="top"/>
          </w:tcPr>
          <w:p w14:paraId="434E1676">
            <w:pPr>
              <w:widowControl w:val="0"/>
              <w:autoSpaceDE w:val="0"/>
              <w:autoSpaceDN w:val="0"/>
              <w:spacing w:line="360" w:lineRule="auto"/>
              <w:rPr>
                <w:rFonts w:hint="eastAsia" w:ascii="宋体" w:hAnsi="宋体" w:eastAsia="宋体" w:cs="宋体"/>
                <w:color w:val="auto"/>
                <w:sz w:val="21"/>
                <w:szCs w:val="21"/>
                <w:lang w:val="zh-CN" w:bidi="zh-CN"/>
              </w:rPr>
            </w:pPr>
            <w:r>
              <w:rPr>
                <w:rFonts w:hint="eastAsia" w:ascii="宋体" w:hAnsi="宋体" w:eastAsia="宋体" w:cs="宋体"/>
                <w:color w:val="auto"/>
                <w:sz w:val="21"/>
                <w:szCs w:val="21"/>
                <w:lang w:val="zh-CN" w:bidi="zh-CN"/>
              </w:rPr>
              <w:t>650</w:t>
            </w:r>
          </w:p>
        </w:tc>
        <w:tc>
          <w:tcPr>
            <w:tcW w:w="972" w:type="pct"/>
            <w:noWrap w:val="0"/>
            <w:vAlign w:val="top"/>
          </w:tcPr>
          <w:p w14:paraId="0F066ECE">
            <w:pPr>
              <w:widowControl w:val="0"/>
              <w:autoSpaceDE w:val="0"/>
              <w:autoSpaceDN w:val="0"/>
              <w:spacing w:line="360" w:lineRule="auto"/>
              <w:rPr>
                <w:rFonts w:hint="default" w:ascii="宋体" w:hAnsi="宋体" w:eastAsia="宋体" w:cs="宋体"/>
                <w:color w:val="auto"/>
                <w:sz w:val="21"/>
                <w:szCs w:val="21"/>
                <w:lang w:val="en-US" w:bidi="zh-CN"/>
              </w:rPr>
            </w:pPr>
            <w:r>
              <w:rPr>
                <w:rFonts w:hint="eastAsia" w:ascii="宋体" w:hAnsi="宋体" w:cs="宋体"/>
                <w:color w:val="auto"/>
                <w:sz w:val="21"/>
                <w:szCs w:val="21"/>
                <w:lang w:val="en-US" w:bidi="zh-CN"/>
              </w:rPr>
              <w:t>1</w:t>
            </w:r>
          </w:p>
        </w:tc>
        <w:tc>
          <w:tcPr>
            <w:tcW w:w="921" w:type="pct"/>
            <w:noWrap w:val="0"/>
            <w:vAlign w:val="top"/>
          </w:tcPr>
          <w:p w14:paraId="4B511432">
            <w:pPr>
              <w:widowControl w:val="0"/>
              <w:autoSpaceDE w:val="0"/>
              <w:autoSpaceDN w:val="0"/>
              <w:spacing w:line="360" w:lineRule="auto"/>
              <w:rPr>
                <w:rFonts w:hint="default" w:ascii="宋体" w:hAnsi="宋体" w:eastAsia="宋体" w:cs="宋体"/>
                <w:color w:val="auto"/>
                <w:sz w:val="21"/>
                <w:szCs w:val="21"/>
                <w:lang w:val="en-US" w:bidi="zh-CN"/>
              </w:rPr>
            </w:pPr>
            <w:r>
              <w:rPr>
                <w:rFonts w:hint="eastAsia" w:ascii="宋体" w:hAnsi="宋体" w:cs="宋体"/>
                <w:color w:val="auto"/>
                <w:sz w:val="21"/>
                <w:szCs w:val="21"/>
                <w:lang w:val="en-US" w:bidi="zh-CN"/>
              </w:rPr>
              <w:t>9</w:t>
            </w:r>
          </w:p>
        </w:tc>
      </w:tr>
      <w:tr w14:paraId="4C0FD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281" w:type="pct"/>
            <w:noWrap w:val="0"/>
            <w:vAlign w:val="top"/>
          </w:tcPr>
          <w:p w14:paraId="2CEF534E">
            <w:pPr>
              <w:widowControl w:val="0"/>
              <w:autoSpaceDE w:val="0"/>
              <w:autoSpaceDN w:val="0"/>
              <w:spacing w:line="360" w:lineRule="auto"/>
              <w:rPr>
                <w:rFonts w:hint="eastAsia" w:ascii="宋体" w:hAnsi="宋体" w:eastAsia="宋体" w:cs="宋体"/>
                <w:color w:val="auto"/>
                <w:sz w:val="21"/>
                <w:szCs w:val="21"/>
                <w:lang w:val="zh-CN" w:bidi="zh-CN"/>
              </w:rPr>
            </w:pPr>
            <w:r>
              <w:rPr>
                <w:rFonts w:hint="eastAsia" w:ascii="宋体" w:hAnsi="宋体" w:eastAsia="宋体" w:cs="宋体"/>
                <w:color w:val="auto"/>
                <w:sz w:val="21"/>
                <w:szCs w:val="21"/>
                <w:lang w:val="zh-CN" w:bidi="zh-CN"/>
              </w:rPr>
              <w:t>新建综合大楼</w:t>
            </w:r>
          </w:p>
        </w:tc>
        <w:tc>
          <w:tcPr>
            <w:tcW w:w="949" w:type="pct"/>
            <w:noWrap w:val="0"/>
            <w:vAlign w:val="top"/>
          </w:tcPr>
          <w:p w14:paraId="5A888737">
            <w:pPr>
              <w:widowControl w:val="0"/>
              <w:autoSpaceDE w:val="0"/>
              <w:autoSpaceDN w:val="0"/>
              <w:spacing w:line="360" w:lineRule="auto"/>
              <w:rPr>
                <w:rFonts w:hint="eastAsia" w:ascii="宋体" w:hAnsi="宋体" w:eastAsia="宋体" w:cs="宋体"/>
                <w:color w:val="auto"/>
                <w:sz w:val="21"/>
                <w:szCs w:val="21"/>
                <w:lang w:val="zh-CN" w:bidi="zh-CN"/>
              </w:rPr>
            </w:pPr>
            <w:r>
              <w:rPr>
                <w:rFonts w:hint="eastAsia" w:ascii="宋体" w:hAnsi="宋体" w:eastAsia="宋体" w:cs="宋体"/>
                <w:color w:val="auto"/>
                <w:sz w:val="21"/>
                <w:szCs w:val="21"/>
                <w:lang w:val="zh-CN" w:bidi="zh-CN"/>
              </w:rPr>
              <w:t>康明斯</w:t>
            </w:r>
          </w:p>
        </w:tc>
        <w:tc>
          <w:tcPr>
            <w:tcW w:w="874" w:type="pct"/>
            <w:noWrap w:val="0"/>
            <w:vAlign w:val="top"/>
          </w:tcPr>
          <w:p w14:paraId="78667092">
            <w:pPr>
              <w:widowControl w:val="0"/>
              <w:autoSpaceDE w:val="0"/>
              <w:autoSpaceDN w:val="0"/>
              <w:spacing w:line="360" w:lineRule="auto"/>
              <w:rPr>
                <w:rFonts w:hint="eastAsia" w:ascii="宋体" w:hAnsi="宋体" w:eastAsia="宋体" w:cs="宋体"/>
                <w:color w:val="auto"/>
                <w:sz w:val="21"/>
                <w:szCs w:val="21"/>
                <w:lang w:val="zh-CN" w:bidi="zh-CN"/>
              </w:rPr>
            </w:pPr>
            <w:r>
              <w:rPr>
                <w:rFonts w:hint="eastAsia" w:ascii="宋体" w:hAnsi="宋体" w:eastAsia="宋体" w:cs="宋体"/>
                <w:color w:val="auto"/>
                <w:sz w:val="21"/>
                <w:szCs w:val="21"/>
                <w:lang w:val="zh-CN" w:bidi="zh-CN"/>
              </w:rPr>
              <w:t>1500</w:t>
            </w:r>
          </w:p>
        </w:tc>
        <w:tc>
          <w:tcPr>
            <w:tcW w:w="972" w:type="pct"/>
            <w:noWrap w:val="0"/>
            <w:vAlign w:val="top"/>
          </w:tcPr>
          <w:p w14:paraId="790AA183">
            <w:pPr>
              <w:widowControl w:val="0"/>
              <w:autoSpaceDE w:val="0"/>
              <w:autoSpaceDN w:val="0"/>
              <w:spacing w:line="360" w:lineRule="auto"/>
              <w:rPr>
                <w:rFonts w:hint="default" w:ascii="宋体" w:hAnsi="宋体" w:eastAsia="宋体" w:cs="宋体"/>
                <w:color w:val="auto"/>
                <w:sz w:val="21"/>
                <w:szCs w:val="21"/>
                <w:lang w:val="en-US" w:bidi="zh-CN"/>
              </w:rPr>
            </w:pPr>
            <w:r>
              <w:rPr>
                <w:rFonts w:hint="eastAsia" w:ascii="宋体" w:hAnsi="宋体" w:cs="宋体"/>
                <w:color w:val="auto"/>
                <w:sz w:val="21"/>
                <w:szCs w:val="21"/>
                <w:lang w:val="en-US" w:bidi="zh-CN"/>
              </w:rPr>
              <w:t>1</w:t>
            </w:r>
          </w:p>
        </w:tc>
        <w:tc>
          <w:tcPr>
            <w:tcW w:w="921" w:type="pct"/>
            <w:noWrap w:val="0"/>
            <w:vAlign w:val="top"/>
          </w:tcPr>
          <w:p w14:paraId="25F8AE8B">
            <w:pPr>
              <w:widowControl w:val="0"/>
              <w:autoSpaceDE w:val="0"/>
              <w:autoSpaceDN w:val="0"/>
              <w:spacing w:line="360" w:lineRule="auto"/>
              <w:rPr>
                <w:rFonts w:hint="default" w:ascii="宋体" w:hAnsi="宋体" w:eastAsia="宋体" w:cs="宋体"/>
                <w:color w:val="auto"/>
                <w:sz w:val="21"/>
                <w:szCs w:val="21"/>
                <w:lang w:val="en-US" w:bidi="zh-CN"/>
              </w:rPr>
            </w:pPr>
            <w:r>
              <w:rPr>
                <w:rFonts w:hint="eastAsia" w:ascii="宋体" w:hAnsi="宋体" w:cs="宋体"/>
                <w:color w:val="auto"/>
                <w:sz w:val="21"/>
                <w:szCs w:val="21"/>
                <w:lang w:val="en-US" w:bidi="zh-CN"/>
              </w:rPr>
              <w:t>/</w:t>
            </w:r>
          </w:p>
        </w:tc>
      </w:tr>
    </w:tbl>
    <w:p w14:paraId="20C1F52D">
      <w:pPr>
        <w:widowControl/>
        <w:jc w:val="center"/>
        <w:rPr>
          <w:rFonts w:hint="eastAsia" w:ascii="宋体" w:hAnsi="宋体" w:eastAsia="宋体" w:cs="宋体"/>
          <w:color w:val="000000"/>
          <w:kern w:val="0"/>
          <w:sz w:val="24"/>
          <w:szCs w:val="24"/>
          <w:lang w:val="en-US" w:eastAsia="zh-CN"/>
        </w:rPr>
      </w:pPr>
    </w:p>
    <w:p w14:paraId="623F271D">
      <w:pPr>
        <w:widowControl/>
        <w:jc w:val="center"/>
        <w:rPr>
          <w:rFonts w:hint="default" w:ascii="宋体" w:hAnsi="宋体" w:eastAsia="宋体" w:cs="宋体"/>
          <w:b/>
          <w:bCs/>
          <w:color w:val="000000"/>
          <w:kern w:val="0"/>
          <w:sz w:val="21"/>
          <w:szCs w:val="21"/>
          <w:lang w:val="en-US" w:eastAsia="zh-CN"/>
        </w:rPr>
      </w:pPr>
      <w:r>
        <w:rPr>
          <w:rFonts w:hint="eastAsia" w:ascii="宋体" w:hAnsi="宋体" w:cs="宋体"/>
          <w:b/>
          <w:bCs/>
          <w:color w:val="000000"/>
          <w:kern w:val="0"/>
          <w:sz w:val="21"/>
          <w:szCs w:val="21"/>
          <w:lang w:val="en-US" w:eastAsia="zh-CN"/>
        </w:rPr>
        <w:t>UPS设备清单</w:t>
      </w:r>
    </w:p>
    <w:tbl>
      <w:tblPr>
        <w:tblStyle w:val="7"/>
        <w:tblW w:w="591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95"/>
        <w:gridCol w:w="1669"/>
        <w:gridCol w:w="1052"/>
        <w:gridCol w:w="1233"/>
        <w:gridCol w:w="942"/>
        <w:gridCol w:w="1818"/>
        <w:gridCol w:w="942"/>
        <w:gridCol w:w="1331"/>
      </w:tblGrid>
      <w:tr w14:paraId="6B4FA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7502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68D2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存放具体位置</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E788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UPS电源品牌</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9940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CF6D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功率（KW）</w:t>
            </w: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FA3D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生产日期</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0A11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数量（台）</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0166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61DE7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78C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AF3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ICU</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8C2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易事特</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7E3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EA8940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F0A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11F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2018.8.22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0CF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8F6D4">
            <w:pPr>
              <w:jc w:val="center"/>
              <w:rPr>
                <w:rFonts w:hint="eastAsia" w:ascii="宋体" w:hAnsi="宋体" w:eastAsia="宋体" w:cs="宋体"/>
                <w:i w:val="0"/>
                <w:iCs w:val="0"/>
                <w:color w:val="000000"/>
                <w:sz w:val="21"/>
                <w:szCs w:val="21"/>
                <w:u w:val="none"/>
              </w:rPr>
            </w:pPr>
          </w:p>
        </w:tc>
      </w:tr>
    </w:tbl>
    <w:p w14:paraId="0A9984D0">
      <w:pPr>
        <w:widowControl/>
        <w:jc w:val="center"/>
        <w:rPr>
          <w:rFonts w:hint="eastAsia" w:ascii="宋体" w:hAnsi="宋体" w:eastAsia="宋体" w:cs="宋体"/>
          <w:color w:val="000000"/>
          <w:kern w:val="0"/>
          <w:sz w:val="24"/>
          <w:szCs w:val="24"/>
          <w:lang w:val="en-US" w:eastAsia="zh-CN"/>
        </w:rPr>
      </w:pPr>
    </w:p>
    <w:p w14:paraId="040D4205">
      <w:pPr>
        <w:widowControl/>
        <w:numPr>
          <w:ilvl w:val="0"/>
          <w:numId w:val="0"/>
        </w:numPr>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w:t>
      </w:r>
      <w:r>
        <w:rPr>
          <w:rFonts w:hint="eastAsia" w:ascii="宋体" w:hAnsi="宋体" w:eastAsia="宋体" w:cs="宋体"/>
          <w:color w:val="000000"/>
          <w:kern w:val="0"/>
          <w:sz w:val="24"/>
          <w:szCs w:val="24"/>
          <w:lang w:val="en-US" w:eastAsia="zh-CN"/>
        </w:rPr>
        <w:t>按照国家</w:t>
      </w:r>
      <w:r>
        <w:rPr>
          <w:rFonts w:hint="eastAsia" w:ascii="宋体" w:hAnsi="宋体" w:cs="宋体"/>
          <w:color w:val="000000"/>
          <w:kern w:val="0"/>
          <w:sz w:val="24"/>
          <w:szCs w:val="24"/>
          <w:lang w:val="en-US" w:eastAsia="zh-CN"/>
        </w:rPr>
        <w:t>、行业</w:t>
      </w:r>
      <w:r>
        <w:rPr>
          <w:rFonts w:hint="eastAsia" w:ascii="宋体" w:hAnsi="宋体" w:eastAsia="宋体" w:cs="宋体"/>
          <w:color w:val="000000"/>
          <w:kern w:val="0"/>
          <w:sz w:val="24"/>
          <w:szCs w:val="24"/>
          <w:lang w:val="en-US" w:eastAsia="zh-CN"/>
        </w:rPr>
        <w:t>标准</w:t>
      </w:r>
      <w:r>
        <w:rPr>
          <w:rFonts w:hint="eastAsia" w:ascii="宋体" w:hAnsi="宋体" w:cs="宋体"/>
          <w:color w:val="000000"/>
          <w:kern w:val="0"/>
          <w:sz w:val="24"/>
          <w:szCs w:val="24"/>
          <w:lang w:val="en-US" w:eastAsia="zh-CN"/>
        </w:rPr>
        <w:t>规范</w:t>
      </w:r>
      <w:r>
        <w:rPr>
          <w:rFonts w:hint="eastAsia" w:ascii="宋体" w:hAnsi="宋体" w:eastAsia="宋体" w:cs="宋体"/>
          <w:color w:val="000000"/>
          <w:kern w:val="0"/>
          <w:sz w:val="24"/>
          <w:szCs w:val="24"/>
          <w:lang w:val="en-US" w:eastAsia="zh-CN"/>
        </w:rPr>
        <w:t>每月对</w:t>
      </w:r>
      <w:r>
        <w:rPr>
          <w:rFonts w:hint="eastAsia" w:ascii="宋体" w:hAnsi="宋体" w:cs="宋体"/>
          <w:color w:val="000000"/>
          <w:kern w:val="0"/>
          <w:sz w:val="24"/>
          <w:szCs w:val="24"/>
          <w:lang w:val="en-US" w:eastAsia="zh-CN"/>
        </w:rPr>
        <w:t>配电房、发电机房供配电设备</w:t>
      </w:r>
      <w:r>
        <w:rPr>
          <w:rFonts w:hint="eastAsia" w:ascii="宋体" w:hAnsi="宋体" w:eastAsia="宋体" w:cs="宋体"/>
          <w:color w:val="000000"/>
          <w:kern w:val="0"/>
          <w:sz w:val="24"/>
          <w:szCs w:val="24"/>
          <w:lang w:val="en-US" w:eastAsia="zh-CN"/>
        </w:rPr>
        <w:t>进行</w:t>
      </w:r>
      <w:r>
        <w:rPr>
          <w:rFonts w:hint="eastAsia" w:ascii="宋体" w:hAnsi="宋体" w:cs="宋体"/>
          <w:color w:val="000000"/>
          <w:kern w:val="0"/>
          <w:sz w:val="24"/>
          <w:szCs w:val="24"/>
          <w:lang w:val="en-US" w:eastAsia="zh-CN"/>
        </w:rPr>
        <w:t>维护保养</w:t>
      </w:r>
      <w:r>
        <w:rPr>
          <w:rFonts w:hint="eastAsia" w:ascii="宋体" w:hAnsi="宋体" w:eastAsia="宋体" w:cs="宋体"/>
          <w:color w:val="000000"/>
          <w:kern w:val="0"/>
          <w:sz w:val="24"/>
          <w:szCs w:val="24"/>
          <w:lang w:val="en-US" w:eastAsia="zh-CN"/>
        </w:rPr>
        <w:t>并出具维保报告</w:t>
      </w:r>
      <w:r>
        <w:rPr>
          <w:rFonts w:hint="eastAsia" w:ascii="宋体" w:hAnsi="宋体" w:cs="宋体"/>
          <w:color w:val="000000"/>
          <w:kern w:val="0"/>
          <w:sz w:val="24"/>
          <w:szCs w:val="24"/>
          <w:lang w:val="en-US" w:eastAsia="zh-CN"/>
        </w:rPr>
        <w:t>，</w:t>
      </w:r>
      <w:r>
        <w:rPr>
          <w:rFonts w:hint="eastAsia" w:ascii="宋体" w:hAnsi="宋体" w:eastAsia="宋体" w:cs="宋体"/>
          <w:color w:val="000000"/>
          <w:kern w:val="0"/>
          <w:sz w:val="24"/>
          <w:szCs w:val="24"/>
          <w:lang w:val="en-US" w:eastAsia="zh-CN"/>
        </w:rPr>
        <w:t>使</w:t>
      </w:r>
      <w:r>
        <w:rPr>
          <w:rFonts w:hint="eastAsia" w:ascii="宋体" w:hAnsi="宋体" w:cs="宋体"/>
          <w:color w:val="000000"/>
          <w:kern w:val="0"/>
          <w:sz w:val="24"/>
          <w:szCs w:val="24"/>
          <w:lang w:val="en-US" w:eastAsia="zh-CN"/>
        </w:rPr>
        <w:t>院方</w:t>
      </w:r>
      <w:r>
        <w:rPr>
          <w:rFonts w:hint="eastAsia" w:ascii="宋体" w:hAnsi="宋体" w:eastAsia="宋体" w:cs="宋体"/>
          <w:color w:val="000000"/>
          <w:kern w:val="0"/>
          <w:sz w:val="24"/>
          <w:szCs w:val="24"/>
          <w:lang w:val="en-US" w:eastAsia="zh-CN"/>
        </w:rPr>
        <w:t>清晰了解设备的运行情况。</w:t>
      </w:r>
    </w:p>
    <w:p w14:paraId="09D1AF3F">
      <w:pPr>
        <w:widowControl/>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3</w:t>
      </w:r>
      <w:r>
        <w:rPr>
          <w:rFonts w:hint="eastAsia" w:ascii="宋体" w:hAnsi="宋体" w:eastAsia="宋体" w:cs="宋体"/>
          <w:color w:val="000000"/>
          <w:kern w:val="0"/>
          <w:sz w:val="24"/>
          <w:szCs w:val="24"/>
          <w:lang w:val="en-US" w:eastAsia="zh-CN"/>
        </w:rPr>
        <w:t>、每年对院内供配电系统进行一次预防性试验并出具报告。</w:t>
      </w:r>
    </w:p>
    <w:p w14:paraId="3A0B62C5">
      <w:pPr>
        <w:widowControl/>
        <w:ind w:firstLine="480" w:firstLineChars="200"/>
        <w:jc w:val="left"/>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4、对于院内UPS设备，每季度进行一次运维检测、每年进行一次充放电试验，并出具报告。</w:t>
      </w:r>
    </w:p>
    <w:p w14:paraId="138E10E4">
      <w:pPr>
        <w:widowControl/>
        <w:ind w:firstLine="480" w:firstLineChars="200"/>
        <w:jc w:val="left"/>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5、每年对院内发电机进行一次全面保养。</w:t>
      </w:r>
    </w:p>
    <w:p w14:paraId="78305AF5">
      <w:pPr>
        <w:widowControl/>
        <w:ind w:firstLine="480" w:firstLineChars="200"/>
        <w:jc w:val="left"/>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6、每半年一次对全院强电井进行安全检测并出具检测报告。全院约有71个二级电井，每层楼一个电井：1号门诊楼（地下1层、地上4层）、2号住院楼（地下1层、地上12层）、3号住院楼（地下1层、地上17层）、4号体检楼（地上3层）、发热门诊楼（地上2层）、新建综合大楼（地下3层、地上23层）、莲花路社康中心（地上4层）。</w:t>
      </w:r>
    </w:p>
    <w:p w14:paraId="56FE8F10">
      <w:pPr>
        <w:widowControl/>
        <w:ind w:firstLine="480" w:firstLineChars="200"/>
        <w:jc w:val="left"/>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7、提供24小时应急抢修、故障维修服务。对于材料单价≤300元的维修，由中标人负责维修更换；对于材料单价＞300元的维修，中标人提供报价，报院方归口管理科室审批及采购维修。</w:t>
      </w:r>
    </w:p>
    <w:p w14:paraId="588B75C7">
      <w:pPr>
        <w:widowControl/>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8、按照标准要求对绝缘鞋、手套、接地线、验电笔等定期检测</w:t>
      </w:r>
      <w:r>
        <w:rPr>
          <w:rFonts w:hint="eastAsia" w:ascii="宋体" w:hAnsi="宋体" w:cs="宋体"/>
          <w:color w:val="000000"/>
          <w:kern w:val="0"/>
          <w:sz w:val="24"/>
          <w:szCs w:val="24"/>
          <w:lang w:val="en-US" w:eastAsia="zh-CN"/>
        </w:rPr>
        <w:t>，</w:t>
      </w:r>
      <w:r>
        <w:rPr>
          <w:rFonts w:hint="eastAsia" w:ascii="宋体" w:hAnsi="宋体" w:eastAsia="宋体" w:cs="宋体"/>
          <w:color w:val="000000"/>
          <w:kern w:val="0"/>
          <w:sz w:val="24"/>
          <w:szCs w:val="24"/>
          <w:lang w:val="en-US" w:eastAsia="zh-CN"/>
        </w:rPr>
        <w:t>出具检测报告。</w:t>
      </w:r>
    </w:p>
    <w:p w14:paraId="7FB423B8">
      <w:pPr>
        <w:widowControl/>
        <w:ind w:firstLine="480" w:firstLineChars="200"/>
        <w:jc w:val="left"/>
        <w:rPr>
          <w:rFonts w:hint="default" w:ascii="宋体" w:hAnsi="宋体" w:cs="宋体"/>
          <w:color w:val="000000"/>
          <w:kern w:val="0"/>
          <w:sz w:val="24"/>
          <w:szCs w:val="24"/>
          <w:lang w:val="en-US" w:eastAsia="zh-CN"/>
        </w:rPr>
      </w:pPr>
    </w:p>
    <w:p w14:paraId="508C326B">
      <w:pPr>
        <w:widowControl/>
        <w:numPr>
          <w:ilvl w:val="0"/>
          <w:numId w:val="0"/>
        </w:numPr>
        <w:adjustRightInd w:val="0"/>
        <w:snapToGrid w:val="0"/>
        <w:spacing w:line="360" w:lineRule="auto"/>
        <w:ind w:firstLine="482" w:firstLineChars="200"/>
        <w:jc w:val="left"/>
        <w:rPr>
          <w:rFonts w:hint="eastAsia" w:ascii="宋体" w:hAnsi="宋体" w:cs="宋体"/>
          <w:b/>
          <w:bCs w:val="0"/>
          <w:sz w:val="24"/>
          <w:lang w:eastAsia="zh-CN"/>
        </w:rPr>
      </w:pPr>
      <w:r>
        <w:rPr>
          <w:rFonts w:hint="eastAsia" w:ascii="宋体" w:hAnsi="宋体" w:cs="宋体"/>
          <w:b/>
          <w:bCs w:val="0"/>
          <w:sz w:val="24"/>
          <w:lang w:eastAsia="zh-CN"/>
        </w:rPr>
        <w:t>三、资质要求</w:t>
      </w:r>
    </w:p>
    <w:p w14:paraId="60668186">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eastAsia="zh-CN"/>
        </w:rPr>
      </w:pPr>
      <w:r>
        <w:rPr>
          <w:rFonts w:hint="eastAsia" w:ascii="宋体" w:hAnsi="宋体" w:eastAsia="宋体" w:cs="宋体"/>
          <w:bCs/>
          <w:sz w:val="24"/>
          <w:lang w:eastAsia="zh-CN"/>
        </w:rPr>
        <w:t>1、投标人具有独立法人资格，提供有效的营业执照复印件。</w:t>
      </w:r>
    </w:p>
    <w:p w14:paraId="6C347604">
      <w:pPr>
        <w:widowControl/>
        <w:numPr>
          <w:ilvl w:val="0"/>
          <w:numId w:val="0"/>
        </w:numPr>
        <w:adjustRightInd w:val="0"/>
        <w:snapToGrid w:val="0"/>
        <w:spacing w:line="360" w:lineRule="auto"/>
        <w:ind w:firstLine="480" w:firstLineChars="200"/>
        <w:jc w:val="left"/>
        <w:rPr>
          <w:rFonts w:hint="default" w:ascii="宋体" w:hAnsi="宋体" w:eastAsia="宋体" w:cs="宋体"/>
          <w:bCs/>
          <w:sz w:val="24"/>
          <w:lang w:val="en-US" w:eastAsia="zh-CN"/>
        </w:rPr>
      </w:pPr>
      <w:r>
        <w:rPr>
          <w:rFonts w:hint="eastAsia" w:ascii="宋体" w:hAnsi="宋体" w:eastAsia="宋体" w:cs="宋体"/>
          <w:bCs/>
          <w:sz w:val="24"/>
          <w:lang w:eastAsia="zh-CN"/>
        </w:rPr>
        <w:t>2、投标人须具有《承装（修、试）电力设施许可证》并包含承装、修、试类三级或以上资质</w:t>
      </w:r>
      <w:r>
        <w:rPr>
          <w:rFonts w:hint="eastAsia" w:ascii="宋体" w:hAnsi="宋体" w:cs="宋体"/>
          <w:bCs/>
          <w:sz w:val="24"/>
          <w:lang w:eastAsia="zh-CN"/>
        </w:rPr>
        <w:t>，</w:t>
      </w:r>
      <w:r>
        <w:rPr>
          <w:rFonts w:hint="eastAsia" w:ascii="宋体" w:hAnsi="宋体" w:cs="宋体"/>
          <w:bCs/>
          <w:sz w:val="24"/>
          <w:lang w:val="en-US" w:eastAsia="zh-CN"/>
        </w:rPr>
        <w:t>持有旧证的须含</w:t>
      </w:r>
      <w:r>
        <w:rPr>
          <w:rFonts w:hint="eastAsia" w:ascii="宋体" w:hAnsi="宋体" w:eastAsia="宋体" w:cs="宋体"/>
          <w:bCs/>
          <w:sz w:val="24"/>
          <w:lang w:eastAsia="zh-CN"/>
        </w:rPr>
        <w:t>承装、修、试类</w:t>
      </w:r>
      <w:r>
        <w:rPr>
          <w:rFonts w:hint="eastAsia" w:ascii="宋体" w:hAnsi="宋体" w:eastAsia="宋体" w:cs="宋体"/>
          <w:bCs/>
          <w:sz w:val="24"/>
          <w:lang w:val="en-US" w:eastAsia="zh-CN"/>
        </w:rPr>
        <w:t>五</w:t>
      </w:r>
      <w:r>
        <w:rPr>
          <w:rFonts w:hint="eastAsia" w:ascii="宋体" w:hAnsi="宋体" w:eastAsia="宋体" w:cs="宋体"/>
          <w:bCs/>
          <w:sz w:val="24"/>
          <w:lang w:eastAsia="zh-CN"/>
        </w:rPr>
        <w:t>级或以上资质</w:t>
      </w:r>
      <w:r>
        <w:rPr>
          <w:rFonts w:hint="eastAsia" w:ascii="宋体" w:hAnsi="宋体" w:eastAsia="宋体" w:cs="宋体"/>
          <w:bCs/>
          <w:sz w:val="24"/>
          <w:lang w:val="en-US" w:eastAsia="zh-CN"/>
        </w:rPr>
        <w:t>。</w:t>
      </w:r>
    </w:p>
    <w:p w14:paraId="1814CF00">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eastAsia="zh-CN"/>
        </w:rPr>
      </w:pPr>
      <w:r>
        <w:rPr>
          <w:rFonts w:hint="eastAsia" w:ascii="宋体" w:hAnsi="宋体" w:eastAsia="宋体" w:cs="宋体"/>
          <w:bCs/>
          <w:sz w:val="24"/>
          <w:lang w:eastAsia="zh-CN"/>
        </w:rPr>
        <w:t>3、信用要求：投标人在“信用中国”（www.creditchina.gov.cn）、“中国政府采购网”（www.ccgp.gov.cn）没有被列入失信被执行人、重大税收违法案件当事人名单、政府采购严重违法失信行为记录名单（提供上述网站的信用记录查询结果打印或网页截图页面加盖投标人公章），工商注册地在珠海市的投标人还须同时提供“信用中国（广东珠海）”（http://credit.zhuhai.gov.cn/）的信用记录查询结果。</w:t>
      </w:r>
    </w:p>
    <w:p w14:paraId="6D16381F">
      <w:pPr>
        <w:widowControl/>
        <w:numPr>
          <w:ilvl w:val="0"/>
          <w:numId w:val="0"/>
        </w:numPr>
        <w:adjustRightInd w:val="0"/>
        <w:snapToGrid w:val="0"/>
        <w:spacing w:line="360" w:lineRule="auto"/>
        <w:ind w:firstLine="480" w:firstLineChars="200"/>
        <w:jc w:val="left"/>
        <w:rPr>
          <w:rFonts w:hint="default" w:ascii="宋体" w:hAnsi="宋体" w:eastAsia="宋体" w:cs="宋体"/>
          <w:bCs/>
          <w:sz w:val="24"/>
          <w:lang w:val="en-US" w:eastAsia="zh-CN"/>
        </w:rPr>
      </w:pPr>
      <w:r>
        <w:rPr>
          <w:rFonts w:hint="eastAsia" w:ascii="宋体" w:hAnsi="宋体" w:cs="宋体"/>
          <w:bCs/>
          <w:sz w:val="24"/>
          <w:lang w:val="en-US" w:eastAsia="zh-CN"/>
        </w:rPr>
        <w:t>4、所有</w:t>
      </w:r>
      <w:r>
        <w:rPr>
          <w:rFonts w:hint="eastAsia" w:ascii="宋体" w:hAnsi="宋体" w:eastAsia="宋体" w:cs="宋体"/>
          <w:bCs/>
          <w:sz w:val="24"/>
          <w:lang w:val="en-US" w:eastAsia="zh-CN"/>
        </w:rPr>
        <w:t>资质要求在有效期内。</w:t>
      </w:r>
    </w:p>
    <w:p w14:paraId="03076EBC">
      <w:pPr>
        <w:pStyle w:val="4"/>
        <w:snapToGrid w:val="0"/>
        <w:ind w:left="816" w:leftChars="229" w:hanging="335" w:hangingChars="139"/>
        <w:rPr>
          <w:rFonts w:hint="eastAsia" w:eastAsia="宋体" w:cs="宋体"/>
          <w:b/>
          <w:sz w:val="24"/>
          <w:lang w:eastAsia="zh-CN"/>
        </w:rPr>
      </w:pPr>
      <w:r>
        <w:rPr>
          <w:rFonts w:hint="eastAsia" w:cs="宋体"/>
          <w:b/>
          <w:sz w:val="24"/>
          <w:lang w:eastAsia="zh-CN"/>
        </w:rPr>
        <w:t>四</w:t>
      </w:r>
      <w:r>
        <w:rPr>
          <w:rFonts w:hint="eastAsia" w:cs="宋体"/>
          <w:b/>
          <w:sz w:val="24"/>
        </w:rPr>
        <w:t>、</w:t>
      </w:r>
      <w:r>
        <w:rPr>
          <w:rFonts w:hint="eastAsia" w:cs="宋体"/>
          <w:b/>
          <w:sz w:val="24"/>
          <w:lang w:eastAsia="zh-CN"/>
        </w:rPr>
        <w:t>服务要求</w:t>
      </w:r>
    </w:p>
    <w:p w14:paraId="6224E8A4">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eastAsia="zh-CN"/>
        </w:rPr>
      </w:pPr>
      <w:r>
        <w:rPr>
          <w:rFonts w:hint="eastAsia" w:ascii="宋体" w:hAnsi="宋体" w:eastAsia="宋体" w:cs="宋体"/>
          <w:bCs/>
          <w:sz w:val="24"/>
          <w:lang w:eastAsia="zh-CN"/>
        </w:rPr>
        <w:t>1、本项目包含</w:t>
      </w:r>
      <w:r>
        <w:rPr>
          <w:rFonts w:hint="eastAsia" w:ascii="宋体" w:hAnsi="宋体" w:cs="宋体"/>
          <w:bCs/>
          <w:sz w:val="24"/>
          <w:lang w:val="en-US" w:eastAsia="zh-CN"/>
        </w:rPr>
        <w:t>但</w:t>
      </w:r>
      <w:r>
        <w:rPr>
          <w:rFonts w:hint="eastAsia" w:ascii="宋体" w:hAnsi="宋体" w:eastAsia="宋体" w:cs="宋体"/>
          <w:bCs/>
          <w:sz w:val="24"/>
          <w:lang w:eastAsia="zh-CN"/>
        </w:rPr>
        <w:t>不限于对全院变配电系统及高</w:t>
      </w:r>
      <w:r>
        <w:rPr>
          <w:rFonts w:hint="eastAsia" w:ascii="宋体" w:hAnsi="宋体" w:cs="宋体"/>
          <w:bCs/>
          <w:sz w:val="24"/>
          <w:lang w:val="en-US" w:eastAsia="zh-CN"/>
        </w:rPr>
        <w:t>低</w:t>
      </w:r>
      <w:r>
        <w:rPr>
          <w:rFonts w:hint="eastAsia" w:ascii="宋体" w:hAnsi="宋体" w:eastAsia="宋体" w:cs="宋体"/>
          <w:bCs/>
          <w:sz w:val="24"/>
          <w:lang w:eastAsia="zh-CN"/>
        </w:rPr>
        <w:t>压</w:t>
      </w:r>
      <w:r>
        <w:rPr>
          <w:rFonts w:hint="eastAsia" w:ascii="宋体" w:hAnsi="宋体" w:cs="宋体"/>
          <w:bCs/>
          <w:sz w:val="24"/>
          <w:lang w:val="en-US" w:eastAsia="zh-CN"/>
        </w:rPr>
        <w:t>供配电</w:t>
      </w:r>
      <w:r>
        <w:rPr>
          <w:rFonts w:hint="eastAsia" w:ascii="宋体" w:hAnsi="宋体" w:eastAsia="宋体" w:cs="宋体"/>
          <w:bCs/>
          <w:sz w:val="24"/>
          <w:lang w:eastAsia="zh-CN"/>
        </w:rPr>
        <w:t>设备进行维护保养、预防性试验，并负责高、低压配电房、变压器室</w:t>
      </w:r>
      <w:r>
        <w:rPr>
          <w:rFonts w:hint="eastAsia" w:ascii="宋体" w:hAnsi="宋体" w:cs="宋体"/>
          <w:bCs/>
          <w:sz w:val="24"/>
          <w:lang w:eastAsia="zh-CN"/>
        </w:rPr>
        <w:t>、</w:t>
      </w:r>
      <w:r>
        <w:rPr>
          <w:rFonts w:hint="eastAsia" w:ascii="宋体" w:hAnsi="宋体" w:cs="宋体"/>
          <w:bCs/>
          <w:sz w:val="24"/>
          <w:lang w:val="en-US" w:eastAsia="zh-CN"/>
        </w:rPr>
        <w:t>发电机房</w:t>
      </w:r>
      <w:r>
        <w:rPr>
          <w:rFonts w:hint="eastAsia" w:ascii="宋体" w:hAnsi="宋体" w:eastAsia="宋体" w:cs="宋体"/>
          <w:bCs/>
          <w:sz w:val="24"/>
          <w:lang w:eastAsia="zh-CN"/>
        </w:rPr>
        <w:t>等相关机房的清洁卫生及安全管理工作，保障全院电气系统的正常、安全运行等。</w:t>
      </w:r>
    </w:p>
    <w:p w14:paraId="384764E3">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eastAsia="zh-CN"/>
        </w:rPr>
      </w:pPr>
      <w:r>
        <w:rPr>
          <w:rFonts w:hint="eastAsia" w:ascii="宋体" w:hAnsi="宋体" w:eastAsia="宋体" w:cs="宋体"/>
          <w:bCs/>
          <w:sz w:val="24"/>
          <w:lang w:eastAsia="zh-CN"/>
        </w:rPr>
        <w:t>2、投标人在投标时提供详细具体的维保方案。</w:t>
      </w:r>
    </w:p>
    <w:p w14:paraId="328E3613">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eastAsia="zh-CN"/>
        </w:rPr>
      </w:pPr>
      <w:r>
        <w:rPr>
          <w:rFonts w:hint="eastAsia" w:ascii="宋体" w:hAnsi="宋体" w:eastAsia="宋体" w:cs="宋体"/>
          <w:bCs/>
          <w:sz w:val="24"/>
          <w:lang w:eastAsia="zh-CN"/>
        </w:rPr>
        <w:t>3、中标人每月须对运维的供配电设施至少进行一次维护保养，并在15日前完成，次月10日前向院方出具维保报告。</w:t>
      </w:r>
    </w:p>
    <w:p w14:paraId="2CAFD70A">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eastAsia="zh-CN"/>
        </w:rPr>
      </w:pPr>
      <w:r>
        <w:rPr>
          <w:rFonts w:hint="eastAsia" w:ascii="宋体" w:hAnsi="宋体" w:eastAsia="宋体" w:cs="宋体"/>
          <w:bCs/>
          <w:sz w:val="24"/>
          <w:lang w:eastAsia="zh-CN"/>
        </w:rPr>
        <w:t>4、中标人设立24小时值班电话且保证24小时通讯畅通，以便能及时联系响应。</w:t>
      </w:r>
    </w:p>
    <w:p w14:paraId="16078BDE">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eastAsia="zh-CN"/>
        </w:rPr>
      </w:pPr>
      <w:r>
        <w:rPr>
          <w:rFonts w:hint="eastAsia" w:ascii="宋体" w:hAnsi="宋体" w:eastAsia="宋体" w:cs="宋体"/>
          <w:bCs/>
          <w:sz w:val="24"/>
          <w:lang w:eastAsia="zh-CN"/>
        </w:rPr>
        <w:t>5、在接到院方紧急故障报修时，中标人需在30分钟内赶到现场维修处理，及时维修并在60分钟内修复电路故障；在接到一般故障报修时，需在4小时内赶到现场，并在24小时内维修恢复正常运行。</w:t>
      </w:r>
    </w:p>
    <w:p w14:paraId="3F90E792">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eastAsia="zh-CN"/>
        </w:rPr>
      </w:pPr>
      <w:r>
        <w:rPr>
          <w:rFonts w:hint="eastAsia" w:ascii="宋体" w:hAnsi="宋体" w:eastAsia="宋体" w:cs="宋体"/>
          <w:bCs/>
          <w:sz w:val="24"/>
          <w:lang w:eastAsia="zh-CN"/>
        </w:rPr>
        <w:t>6、对院方执行有关的电力法规、政策、规程和正确、安全用电等具有教育、建议、提示的义务，中标人应结合医院用电特点每年不少于一次向院方进行安全用电的培训</w:t>
      </w:r>
      <w:r>
        <w:rPr>
          <w:rFonts w:hint="eastAsia" w:ascii="宋体" w:hAnsi="宋体" w:cs="宋体"/>
          <w:bCs/>
          <w:sz w:val="24"/>
          <w:lang w:eastAsia="zh-CN"/>
        </w:rPr>
        <w:t>。</w:t>
      </w:r>
    </w:p>
    <w:p w14:paraId="6219D9B6">
      <w:pPr>
        <w:widowControl/>
        <w:numPr>
          <w:ilvl w:val="0"/>
          <w:numId w:val="0"/>
        </w:numPr>
        <w:adjustRightInd w:val="0"/>
        <w:snapToGrid w:val="0"/>
        <w:spacing w:line="360" w:lineRule="auto"/>
        <w:ind w:firstLine="480" w:firstLineChars="200"/>
        <w:jc w:val="left"/>
        <w:rPr>
          <w:rFonts w:hint="default" w:ascii="宋体" w:hAnsi="宋体" w:eastAsia="宋体" w:cs="宋体"/>
          <w:bCs/>
          <w:sz w:val="24"/>
          <w:lang w:val="en-US" w:eastAsia="zh-CN"/>
        </w:rPr>
      </w:pPr>
      <w:r>
        <w:rPr>
          <w:rFonts w:hint="eastAsia" w:ascii="宋体" w:hAnsi="宋体" w:cs="宋体"/>
          <w:bCs/>
          <w:sz w:val="24"/>
          <w:lang w:val="en-US" w:eastAsia="zh-CN"/>
        </w:rPr>
        <w:t>7、技术咨询与支持：为院方提供电气系统运行、改造、节能、安全等方面的技术咨询和建议；协助院方制定电气设备操作规程、应急预案。</w:t>
      </w:r>
    </w:p>
    <w:p w14:paraId="7FA8D17F">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eastAsia="zh-CN"/>
        </w:rPr>
      </w:pPr>
      <w:r>
        <w:rPr>
          <w:rFonts w:hint="eastAsia" w:ascii="宋体" w:hAnsi="宋体" w:cs="宋体"/>
          <w:bCs/>
          <w:sz w:val="24"/>
          <w:lang w:val="en-US" w:eastAsia="zh-CN"/>
        </w:rPr>
        <w:t>8、</w:t>
      </w:r>
      <w:r>
        <w:rPr>
          <w:rFonts w:hint="eastAsia" w:ascii="宋体" w:hAnsi="宋体" w:eastAsia="宋体" w:cs="宋体"/>
          <w:bCs/>
          <w:sz w:val="24"/>
          <w:lang w:eastAsia="zh-CN"/>
        </w:rPr>
        <w:t>如遇台风自然灾害、突发停电等，院方有紧急供保电需求时，中标人在每年度维保服务期内免费为院方提供一个台班（12小时）的发电机租赁服务，发电机功率大小</w:t>
      </w:r>
      <w:r>
        <w:rPr>
          <w:rFonts w:hint="eastAsia" w:ascii="宋体" w:hAnsi="宋体" w:cs="宋体"/>
          <w:bCs/>
          <w:sz w:val="24"/>
          <w:lang w:eastAsia="zh-CN"/>
        </w:rPr>
        <w:t>、</w:t>
      </w:r>
      <w:r>
        <w:rPr>
          <w:rFonts w:hint="eastAsia" w:ascii="宋体" w:hAnsi="宋体" w:cs="宋体"/>
          <w:bCs/>
          <w:sz w:val="24"/>
          <w:lang w:val="en-US" w:eastAsia="zh-CN"/>
        </w:rPr>
        <w:t>数量</w:t>
      </w:r>
      <w:r>
        <w:rPr>
          <w:rFonts w:hint="eastAsia" w:ascii="宋体" w:hAnsi="宋体" w:eastAsia="宋体" w:cs="宋体"/>
          <w:bCs/>
          <w:sz w:val="24"/>
          <w:lang w:eastAsia="zh-CN"/>
        </w:rPr>
        <w:t>根据院方需求确定，除发电机所用柴油外，应当免费包含发电机租赁、发电机人员值守（至少2人）、电缆接驳、运输等。</w:t>
      </w:r>
      <w:r>
        <w:rPr>
          <w:rFonts w:hint="eastAsia" w:ascii="宋体" w:hAnsi="宋体" w:cs="宋体"/>
          <w:bCs/>
          <w:sz w:val="24"/>
          <w:lang w:val="en-US" w:eastAsia="zh-CN"/>
        </w:rPr>
        <w:t>超出一个台班后，</w:t>
      </w:r>
      <w:r>
        <w:rPr>
          <w:rFonts w:hint="eastAsia" w:ascii="宋体" w:hAnsi="宋体" w:eastAsia="宋体" w:cs="宋体"/>
          <w:bCs/>
          <w:sz w:val="24"/>
          <w:lang w:eastAsia="zh-CN"/>
        </w:rPr>
        <w:t>费用</w:t>
      </w:r>
      <w:r>
        <w:rPr>
          <w:rFonts w:hint="eastAsia" w:ascii="宋体" w:hAnsi="宋体" w:eastAsia="宋体" w:cs="宋体"/>
          <w:bCs/>
          <w:sz w:val="24"/>
          <w:lang w:val="en-US" w:eastAsia="zh-CN"/>
        </w:rPr>
        <w:t>可</w:t>
      </w:r>
      <w:r>
        <w:rPr>
          <w:rFonts w:hint="eastAsia" w:ascii="宋体" w:hAnsi="宋体" w:eastAsia="宋体" w:cs="宋体"/>
          <w:bCs/>
          <w:sz w:val="24"/>
          <w:lang w:eastAsia="zh-CN"/>
        </w:rPr>
        <w:t>按投标单价结算。</w:t>
      </w:r>
    </w:p>
    <w:p w14:paraId="50382267">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eastAsia="zh-CN"/>
        </w:rPr>
      </w:pPr>
      <w:r>
        <w:rPr>
          <w:rFonts w:hint="eastAsia" w:ascii="宋体" w:hAnsi="宋体" w:cs="宋体"/>
          <w:bCs/>
          <w:sz w:val="24"/>
          <w:lang w:val="en-US" w:eastAsia="zh-CN"/>
        </w:rPr>
        <w:t>9</w:t>
      </w:r>
      <w:r>
        <w:rPr>
          <w:rFonts w:hint="eastAsia" w:ascii="宋体" w:hAnsi="宋体" w:eastAsia="宋体" w:cs="宋体"/>
          <w:bCs/>
          <w:sz w:val="24"/>
          <w:lang w:eastAsia="zh-CN"/>
        </w:rPr>
        <w:t>、</w:t>
      </w:r>
      <w:r>
        <w:rPr>
          <w:rFonts w:hint="eastAsia" w:ascii="宋体" w:hAnsi="宋体" w:cs="宋体"/>
          <w:bCs/>
          <w:sz w:val="24"/>
          <w:lang w:val="en-US" w:eastAsia="zh-CN"/>
        </w:rPr>
        <w:t>正常市电停电，需发电设施提供发电时，中标人接到报障电话通知后，需在2小时内提供发电设施到场，并在1.5小时内完成发电机设施输电电缆敷设及接入，从接到报障电话到完成发电的时间不超过3.5小时。</w:t>
      </w:r>
    </w:p>
    <w:p w14:paraId="780DF9C2">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eastAsia="zh-CN"/>
        </w:rPr>
      </w:pPr>
      <w:r>
        <w:rPr>
          <w:rFonts w:hint="eastAsia" w:ascii="宋体" w:hAnsi="宋体" w:cs="宋体"/>
          <w:bCs/>
          <w:sz w:val="24"/>
          <w:lang w:val="en-US" w:eastAsia="zh-CN"/>
        </w:rPr>
        <w:t>10</w:t>
      </w:r>
      <w:r>
        <w:rPr>
          <w:rFonts w:hint="eastAsia" w:ascii="宋体" w:hAnsi="宋体" w:eastAsia="宋体" w:cs="宋体"/>
          <w:bCs/>
          <w:sz w:val="24"/>
          <w:lang w:eastAsia="zh-CN"/>
        </w:rPr>
        <w:t>、变电站到医院的入户高压电缆发生故障时，中标人有责任协助院方进行抢修。</w:t>
      </w:r>
    </w:p>
    <w:p w14:paraId="25E833A8">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eastAsia="zh-CN"/>
        </w:rPr>
      </w:pPr>
      <w:r>
        <w:rPr>
          <w:rFonts w:hint="eastAsia" w:ascii="宋体" w:hAnsi="宋体" w:cs="宋体"/>
          <w:bCs/>
          <w:sz w:val="24"/>
          <w:lang w:val="en-US" w:eastAsia="zh-CN"/>
        </w:rPr>
        <w:t>11</w:t>
      </w:r>
      <w:r>
        <w:rPr>
          <w:rFonts w:hint="eastAsia" w:ascii="宋体" w:hAnsi="宋体" w:eastAsia="宋体" w:cs="宋体"/>
          <w:bCs/>
          <w:sz w:val="24"/>
          <w:lang w:eastAsia="zh-CN"/>
        </w:rPr>
        <w:t>、中标人需严格按照有关电力政策法规要求做好全院变配电系统的维护保养工作，因中标人操作不当或未能尽职维保造成的安全事故及损失，由中标人承担全部责任。</w:t>
      </w:r>
    </w:p>
    <w:p w14:paraId="339C9DF2">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eastAsia="zh-CN"/>
        </w:rPr>
      </w:pPr>
      <w:r>
        <w:rPr>
          <w:rFonts w:hint="eastAsia" w:ascii="宋体" w:hAnsi="宋体" w:eastAsia="宋体" w:cs="宋体"/>
          <w:bCs/>
          <w:sz w:val="24"/>
          <w:lang w:eastAsia="zh-CN"/>
        </w:rPr>
        <w:t>1</w:t>
      </w:r>
      <w:r>
        <w:rPr>
          <w:rFonts w:hint="eastAsia" w:ascii="宋体" w:hAnsi="宋体" w:cs="宋体"/>
          <w:bCs/>
          <w:sz w:val="24"/>
          <w:lang w:val="en-US" w:eastAsia="zh-CN"/>
        </w:rPr>
        <w:t>2</w:t>
      </w:r>
      <w:r>
        <w:rPr>
          <w:rFonts w:hint="eastAsia" w:ascii="宋体" w:hAnsi="宋体" w:eastAsia="宋体" w:cs="宋体"/>
          <w:bCs/>
          <w:sz w:val="24"/>
          <w:lang w:eastAsia="zh-CN"/>
        </w:rPr>
        <w:t>、</w:t>
      </w:r>
      <w:r>
        <w:rPr>
          <w:rFonts w:hint="eastAsia" w:ascii="宋体" w:hAnsi="宋体" w:cs="宋体"/>
          <w:bCs/>
          <w:sz w:val="24"/>
          <w:lang w:val="en-US" w:eastAsia="zh-CN"/>
        </w:rPr>
        <w:t>具有</w:t>
      </w:r>
      <w:r>
        <w:rPr>
          <w:rFonts w:hint="eastAsia" w:ascii="宋体" w:hAnsi="宋体" w:eastAsia="宋体" w:cs="宋体"/>
          <w:bCs/>
          <w:sz w:val="24"/>
          <w:lang w:eastAsia="zh-CN"/>
        </w:rPr>
        <w:t>高低压配电设备在线监测的智能化管理</w:t>
      </w:r>
      <w:r>
        <w:rPr>
          <w:rFonts w:hint="eastAsia" w:ascii="宋体" w:hAnsi="宋体" w:cs="宋体"/>
          <w:bCs/>
          <w:sz w:val="24"/>
          <w:lang w:val="en-US" w:eastAsia="zh-CN"/>
        </w:rPr>
        <w:t>系统</w:t>
      </w:r>
      <w:r>
        <w:rPr>
          <w:rFonts w:hint="eastAsia" w:ascii="宋体" w:hAnsi="宋体" w:eastAsia="宋体" w:cs="宋体"/>
          <w:bCs/>
          <w:sz w:val="24"/>
          <w:lang w:eastAsia="zh-CN"/>
        </w:rPr>
        <w:t>，在变压器低压柜总进线开关及重点用电保障科室(</w:t>
      </w:r>
      <w:r>
        <w:rPr>
          <w:rFonts w:hint="eastAsia" w:ascii="宋体" w:hAnsi="宋体" w:cs="宋体"/>
          <w:bCs/>
          <w:sz w:val="24"/>
          <w:lang w:val="en-US" w:eastAsia="zh-CN"/>
        </w:rPr>
        <w:t>如</w:t>
      </w:r>
      <w:r>
        <w:rPr>
          <w:rFonts w:hint="eastAsia" w:ascii="宋体" w:hAnsi="宋体" w:eastAsia="宋体" w:cs="宋体"/>
          <w:bCs/>
          <w:sz w:val="24"/>
          <w:lang w:eastAsia="zh-CN"/>
        </w:rPr>
        <w:t>手术室、ICU、呼吸科、新生儿科、急诊科、影像科</w:t>
      </w:r>
      <w:r>
        <w:rPr>
          <w:rFonts w:hint="eastAsia" w:ascii="宋体" w:hAnsi="宋体" w:cs="宋体"/>
          <w:bCs/>
          <w:sz w:val="24"/>
          <w:lang w:val="en-US" w:eastAsia="zh-CN"/>
        </w:rPr>
        <w:t>等</w:t>
      </w:r>
      <w:r>
        <w:rPr>
          <w:rFonts w:hint="eastAsia" w:ascii="宋体" w:hAnsi="宋体" w:eastAsia="宋体" w:cs="宋体"/>
          <w:bCs/>
          <w:sz w:val="24"/>
          <w:lang w:eastAsia="zh-CN"/>
        </w:rPr>
        <w:t>)出线开关安装数据采集表，在线监测系统具有报警处理、智能抄表、数据存储查询、电能管理分析、导出报告相关功能。（需提供相关操作界面截图，及相关软件平台的著作权证书）</w:t>
      </w:r>
    </w:p>
    <w:p w14:paraId="1501330E">
      <w:pPr>
        <w:widowControl/>
        <w:numPr>
          <w:ilvl w:val="0"/>
          <w:numId w:val="0"/>
        </w:numPr>
        <w:adjustRightInd w:val="0"/>
        <w:snapToGrid w:val="0"/>
        <w:spacing w:line="360" w:lineRule="auto"/>
        <w:ind w:firstLine="480" w:firstLineChars="200"/>
        <w:jc w:val="left"/>
        <w:rPr>
          <w:rFonts w:hint="default" w:ascii="宋体" w:hAnsi="宋体" w:cs="宋体"/>
          <w:bCs/>
          <w:sz w:val="24"/>
          <w:lang w:val="en-US" w:eastAsia="zh-CN"/>
        </w:rPr>
      </w:pPr>
      <w:r>
        <w:rPr>
          <w:rFonts w:hint="eastAsia" w:ascii="宋体" w:hAnsi="宋体" w:eastAsia="宋体" w:cs="宋体"/>
          <w:bCs/>
          <w:sz w:val="24"/>
          <w:lang w:eastAsia="zh-CN"/>
        </w:rPr>
        <w:t>1</w:t>
      </w:r>
      <w:r>
        <w:rPr>
          <w:rFonts w:hint="eastAsia" w:ascii="宋体" w:hAnsi="宋体" w:cs="宋体"/>
          <w:bCs/>
          <w:sz w:val="24"/>
          <w:lang w:val="en-US" w:eastAsia="zh-CN"/>
        </w:rPr>
        <w:t>3</w:t>
      </w:r>
      <w:r>
        <w:rPr>
          <w:rFonts w:hint="eastAsia" w:ascii="宋体" w:hAnsi="宋体" w:eastAsia="宋体" w:cs="宋体"/>
          <w:bCs/>
          <w:sz w:val="24"/>
          <w:lang w:eastAsia="zh-CN"/>
        </w:rPr>
        <w:t>、中根据</w:t>
      </w:r>
      <w:r>
        <w:rPr>
          <w:rFonts w:hint="eastAsia" w:ascii="宋体" w:hAnsi="宋体" w:cs="宋体"/>
          <w:bCs/>
          <w:sz w:val="24"/>
          <w:lang w:val="en-US" w:eastAsia="zh-CN"/>
        </w:rPr>
        <w:t>院方</w:t>
      </w:r>
      <w:r>
        <w:rPr>
          <w:rFonts w:hint="eastAsia" w:ascii="宋体" w:hAnsi="宋体" w:eastAsia="宋体" w:cs="宋体"/>
          <w:bCs/>
          <w:sz w:val="24"/>
          <w:lang w:eastAsia="zh-CN"/>
        </w:rPr>
        <w:t>需求，为</w:t>
      </w:r>
      <w:r>
        <w:rPr>
          <w:rFonts w:hint="eastAsia" w:ascii="宋体" w:hAnsi="宋体" w:cs="宋体"/>
          <w:bCs/>
          <w:sz w:val="24"/>
          <w:lang w:val="en-US" w:eastAsia="zh-CN"/>
        </w:rPr>
        <w:t>院方</w:t>
      </w:r>
      <w:r>
        <w:rPr>
          <w:rFonts w:hint="eastAsia" w:ascii="宋体" w:hAnsi="宋体" w:eastAsia="宋体" w:cs="宋体"/>
          <w:bCs/>
          <w:sz w:val="24"/>
          <w:lang w:eastAsia="zh-CN"/>
        </w:rPr>
        <w:t>代办各种用电手续</w:t>
      </w:r>
      <w:r>
        <w:rPr>
          <w:rFonts w:hint="eastAsia" w:ascii="宋体" w:hAnsi="宋体" w:cs="宋体"/>
          <w:bCs/>
          <w:sz w:val="24"/>
          <w:lang w:val="en-US" w:eastAsia="zh-CN"/>
        </w:rPr>
        <w:t>并</w:t>
      </w:r>
      <w:r>
        <w:rPr>
          <w:rFonts w:hint="eastAsia" w:ascii="宋体" w:hAnsi="宋体" w:eastAsia="宋体" w:cs="宋体"/>
          <w:bCs/>
          <w:sz w:val="24"/>
          <w:lang w:eastAsia="zh-CN"/>
        </w:rPr>
        <w:t>配合院方</w:t>
      </w:r>
      <w:r>
        <w:rPr>
          <w:rFonts w:hint="eastAsia" w:ascii="宋体" w:hAnsi="宋体" w:eastAsia="宋体" w:cs="宋体"/>
          <w:bCs/>
          <w:sz w:val="24"/>
          <w:lang w:val="en-US" w:eastAsia="zh-CN"/>
        </w:rPr>
        <w:t>进行电气安全相关检查</w:t>
      </w:r>
      <w:r>
        <w:rPr>
          <w:rFonts w:hint="eastAsia" w:ascii="宋体" w:hAnsi="宋体" w:eastAsia="宋体" w:cs="宋体"/>
          <w:bCs/>
          <w:sz w:val="24"/>
          <w:lang w:eastAsia="zh-CN"/>
        </w:rPr>
        <w:t>等工作。</w:t>
      </w:r>
    </w:p>
    <w:p w14:paraId="0EA9F5AF">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eastAsia="zh-CN"/>
        </w:rPr>
      </w:pPr>
      <w:r>
        <w:rPr>
          <w:rFonts w:hint="eastAsia" w:ascii="宋体" w:hAnsi="宋体" w:eastAsia="宋体" w:cs="宋体"/>
          <w:bCs/>
          <w:sz w:val="24"/>
          <w:lang w:eastAsia="zh-CN"/>
        </w:rPr>
        <w:t>1</w:t>
      </w:r>
      <w:r>
        <w:rPr>
          <w:rFonts w:hint="eastAsia" w:ascii="宋体" w:hAnsi="宋体" w:cs="宋体"/>
          <w:bCs/>
          <w:sz w:val="24"/>
          <w:lang w:val="en-US" w:eastAsia="zh-CN"/>
        </w:rPr>
        <w:t>4</w:t>
      </w:r>
      <w:r>
        <w:rPr>
          <w:rFonts w:hint="eastAsia" w:ascii="宋体" w:hAnsi="宋体" w:eastAsia="宋体" w:cs="宋体"/>
          <w:bCs/>
          <w:sz w:val="24"/>
          <w:lang w:eastAsia="zh-CN"/>
        </w:rPr>
        <w:t>、中标人维保作业时，需严格遵守施工安全要求，施工作业期间施工人员的安全行为与事故责任由中标人全部承担。</w:t>
      </w:r>
    </w:p>
    <w:p w14:paraId="71C69C64">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eastAsia="zh-CN"/>
        </w:rPr>
      </w:pPr>
      <w:r>
        <w:rPr>
          <w:rFonts w:hint="eastAsia" w:ascii="宋体" w:hAnsi="宋体" w:eastAsia="宋体" w:cs="宋体"/>
          <w:bCs/>
          <w:sz w:val="24"/>
          <w:lang w:eastAsia="zh-CN"/>
        </w:rPr>
        <w:t>1</w:t>
      </w:r>
      <w:r>
        <w:rPr>
          <w:rFonts w:hint="eastAsia" w:ascii="宋体" w:hAnsi="宋体" w:cs="宋体"/>
          <w:bCs/>
          <w:sz w:val="24"/>
          <w:lang w:val="en-US" w:eastAsia="zh-CN"/>
        </w:rPr>
        <w:t>5</w:t>
      </w:r>
      <w:r>
        <w:rPr>
          <w:rFonts w:hint="eastAsia" w:ascii="宋体" w:hAnsi="宋体" w:eastAsia="宋体" w:cs="宋体"/>
          <w:bCs/>
          <w:sz w:val="24"/>
          <w:lang w:eastAsia="zh-CN"/>
        </w:rPr>
        <w:t>、中标人在维保期间必须无条件遵守珠海市中西医结合医院的管理规定，不得损坏院方的基础设施与财物，维修保养时需做好围挡及安全警示工作，维保工作完成后需做好现场清理工作等。</w:t>
      </w:r>
    </w:p>
    <w:p w14:paraId="586F7D30">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eastAsia="zh-CN"/>
        </w:rPr>
      </w:pPr>
      <w:r>
        <w:rPr>
          <w:rFonts w:hint="eastAsia" w:ascii="宋体" w:hAnsi="宋体" w:eastAsia="宋体" w:cs="宋体"/>
          <w:bCs/>
          <w:sz w:val="24"/>
          <w:lang w:eastAsia="zh-CN"/>
        </w:rPr>
        <w:t>1</w:t>
      </w:r>
      <w:r>
        <w:rPr>
          <w:rFonts w:hint="eastAsia" w:ascii="宋体" w:hAnsi="宋体" w:cs="宋体"/>
          <w:bCs/>
          <w:sz w:val="24"/>
          <w:lang w:val="en-US" w:eastAsia="zh-CN"/>
        </w:rPr>
        <w:t>6</w:t>
      </w:r>
      <w:r>
        <w:rPr>
          <w:rFonts w:hint="eastAsia" w:ascii="宋体" w:hAnsi="宋体" w:eastAsia="宋体" w:cs="宋体"/>
          <w:bCs/>
          <w:sz w:val="24"/>
          <w:lang w:eastAsia="zh-CN"/>
        </w:rPr>
        <w:t>、中标人维护人员在进场维保或维修作业时需穿戴统一工作服及工作证，工作服及工作证由中标人负责配备。</w:t>
      </w:r>
    </w:p>
    <w:p w14:paraId="64C62ED4">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eastAsia="zh-CN"/>
        </w:rPr>
      </w:pPr>
      <w:r>
        <w:rPr>
          <w:rFonts w:hint="eastAsia" w:ascii="宋体" w:hAnsi="宋体" w:eastAsia="宋体" w:cs="宋体"/>
          <w:bCs/>
          <w:sz w:val="24"/>
          <w:lang w:eastAsia="zh-CN"/>
        </w:rPr>
        <w:t>1</w:t>
      </w:r>
      <w:r>
        <w:rPr>
          <w:rFonts w:hint="eastAsia" w:ascii="宋体" w:hAnsi="宋体" w:cs="宋体"/>
          <w:bCs/>
          <w:sz w:val="24"/>
          <w:lang w:val="en-US" w:eastAsia="zh-CN"/>
        </w:rPr>
        <w:t>7</w:t>
      </w:r>
      <w:r>
        <w:rPr>
          <w:rFonts w:hint="eastAsia" w:ascii="宋体" w:hAnsi="宋体" w:eastAsia="宋体" w:cs="宋体"/>
          <w:bCs/>
          <w:sz w:val="24"/>
          <w:lang w:eastAsia="zh-CN"/>
        </w:rPr>
        <w:t>、中标人必须遵纪守法，严格执行国家、广东省、珠海市有关法律、法规和制度。</w:t>
      </w:r>
    </w:p>
    <w:p w14:paraId="3BE4400C">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eastAsia="zh-CN"/>
        </w:rPr>
      </w:pPr>
      <w:r>
        <w:rPr>
          <w:rFonts w:hint="eastAsia" w:ascii="宋体" w:hAnsi="宋体" w:eastAsia="宋体" w:cs="宋体"/>
          <w:bCs/>
          <w:sz w:val="24"/>
          <w:lang w:eastAsia="zh-CN"/>
        </w:rPr>
        <w:t>1</w:t>
      </w:r>
      <w:r>
        <w:rPr>
          <w:rFonts w:hint="eastAsia" w:ascii="宋体" w:hAnsi="宋体" w:cs="宋体"/>
          <w:bCs/>
          <w:sz w:val="24"/>
          <w:lang w:val="en-US" w:eastAsia="zh-CN"/>
        </w:rPr>
        <w:t>8</w:t>
      </w:r>
      <w:r>
        <w:rPr>
          <w:rFonts w:hint="eastAsia" w:ascii="宋体" w:hAnsi="宋体" w:eastAsia="宋体" w:cs="宋体"/>
          <w:bCs/>
          <w:sz w:val="24"/>
          <w:lang w:eastAsia="zh-CN"/>
        </w:rPr>
        <w:t>、中标人在运维过程中，若未能及时排查供配电设备设施的安全隐患问题，或者未向院方及时书面告知，造成严重后果的，院方有权解除合同，并要求中标人赔偿由此导致的一切损失。</w:t>
      </w:r>
    </w:p>
    <w:p w14:paraId="5C69C995">
      <w:pPr>
        <w:widowControl/>
        <w:numPr>
          <w:ilvl w:val="0"/>
          <w:numId w:val="0"/>
        </w:numPr>
        <w:adjustRightInd w:val="0"/>
        <w:snapToGrid w:val="0"/>
        <w:spacing w:line="360" w:lineRule="auto"/>
        <w:ind w:firstLine="480" w:firstLineChars="200"/>
        <w:jc w:val="left"/>
        <w:rPr>
          <w:rFonts w:hint="default" w:ascii="宋体" w:hAnsi="宋体" w:eastAsia="宋体" w:cs="宋体"/>
          <w:bCs/>
          <w:sz w:val="24"/>
          <w:lang w:val="en-US" w:eastAsia="zh-CN"/>
        </w:rPr>
      </w:pPr>
      <w:r>
        <w:rPr>
          <w:rFonts w:hint="eastAsia" w:ascii="宋体" w:hAnsi="宋体" w:cs="宋体"/>
          <w:bCs/>
          <w:sz w:val="24"/>
          <w:lang w:val="en-US" w:eastAsia="zh-CN"/>
        </w:rPr>
        <w:t>19、其中</w:t>
      </w:r>
      <w:r>
        <w:rPr>
          <w:rFonts w:hint="eastAsia" w:ascii="宋体" w:hAnsi="宋体" w:cs="宋体"/>
          <w:color w:val="000000"/>
          <w:kern w:val="0"/>
          <w:sz w:val="24"/>
          <w:szCs w:val="24"/>
          <w:lang w:val="en-US" w:eastAsia="zh-CN"/>
        </w:rPr>
        <w:t>新建综合大楼供配电系统按实际投入使用时间开始进行维保并支付相应维保费。</w:t>
      </w:r>
    </w:p>
    <w:p w14:paraId="5AE66B7D">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eastAsia="zh-CN"/>
        </w:rPr>
      </w:pPr>
      <w:r>
        <w:rPr>
          <w:rFonts w:hint="eastAsia" w:ascii="宋体" w:hAnsi="宋体" w:cs="宋体"/>
          <w:bCs/>
          <w:sz w:val="24"/>
          <w:lang w:val="en-US" w:eastAsia="zh-CN"/>
        </w:rPr>
        <w:t>20、</w:t>
      </w:r>
      <w:r>
        <w:rPr>
          <w:rFonts w:hint="eastAsia" w:ascii="宋体" w:hAnsi="宋体" w:eastAsia="宋体" w:cs="宋体"/>
          <w:bCs/>
          <w:sz w:val="24"/>
          <w:lang w:eastAsia="zh-CN"/>
        </w:rPr>
        <w:t>自合同签订之日起1年，合同采用1+1模式签订。在合同期内，院方每月对电气维保工作进行考核，具体考核细则由院方根据实际情况制定（见附件）。若累计3次考核不达标（低于90分），或有效投诉大于2次，院方有权解除合同。合同期满前2个月，由院方对合同履约情况进行综合考核，其中平时考核分数占比60%，年终满意度测评占比40%，若综合分数大于或等于90分，且双方均无异议，则续签合同1年，若考核不达标（综合分数小于90分），院方有权终止合同。</w:t>
      </w:r>
    </w:p>
    <w:p w14:paraId="357A70CE">
      <w:pPr>
        <w:pStyle w:val="4"/>
        <w:snapToGrid w:val="0"/>
        <w:ind w:left="816" w:leftChars="229" w:hanging="335" w:hangingChars="139"/>
        <w:rPr>
          <w:rFonts w:hint="eastAsia" w:eastAsia="宋体" w:cs="宋体"/>
          <w:b/>
          <w:sz w:val="24"/>
          <w:lang w:eastAsia="zh-CN"/>
        </w:rPr>
      </w:pPr>
      <w:r>
        <w:rPr>
          <w:rFonts w:hint="eastAsia" w:cs="宋体"/>
          <w:b/>
          <w:sz w:val="24"/>
          <w:lang w:val="en-US" w:eastAsia="zh-CN"/>
        </w:rPr>
        <w:t>五</w:t>
      </w:r>
      <w:r>
        <w:rPr>
          <w:rFonts w:hint="eastAsia" w:cs="宋体"/>
          <w:b/>
          <w:sz w:val="24"/>
        </w:rPr>
        <w:t>、</w:t>
      </w:r>
      <w:r>
        <w:rPr>
          <w:rFonts w:hint="eastAsia" w:cs="宋体"/>
          <w:b/>
          <w:sz w:val="24"/>
          <w:lang w:eastAsia="zh-CN"/>
        </w:rPr>
        <w:t>技术团队要求</w:t>
      </w:r>
    </w:p>
    <w:p w14:paraId="73B0A70E">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eastAsia="zh-CN"/>
        </w:rPr>
      </w:pPr>
      <w:r>
        <w:rPr>
          <w:rFonts w:hint="eastAsia" w:ascii="宋体" w:hAnsi="宋体" w:cs="宋体"/>
          <w:bCs/>
          <w:sz w:val="24"/>
          <w:lang w:val="en-US" w:eastAsia="zh-CN"/>
        </w:rPr>
        <w:t>1、</w:t>
      </w:r>
      <w:r>
        <w:rPr>
          <w:rFonts w:hint="eastAsia" w:ascii="宋体" w:hAnsi="宋体" w:eastAsia="宋体" w:cs="宋体"/>
          <w:bCs/>
          <w:sz w:val="24"/>
          <w:lang w:eastAsia="zh-CN"/>
        </w:rPr>
        <w:t>投标人需提供拟投入项目团队的人员的资质、人员配置情况、联系方式等情况说明。（提供承诺函格式自拟）</w:t>
      </w:r>
      <w:bookmarkStart w:id="0" w:name="_GoBack"/>
      <w:bookmarkEnd w:id="0"/>
    </w:p>
    <w:p w14:paraId="4FF91605">
      <w:pPr>
        <w:widowControl/>
        <w:numPr>
          <w:ilvl w:val="0"/>
          <w:numId w:val="0"/>
        </w:numPr>
        <w:adjustRightInd w:val="0"/>
        <w:snapToGrid w:val="0"/>
        <w:spacing w:line="360" w:lineRule="auto"/>
        <w:ind w:firstLine="480" w:firstLineChars="200"/>
        <w:jc w:val="left"/>
        <w:rPr>
          <w:rFonts w:hint="eastAsia" w:ascii="宋体" w:hAnsi="宋体" w:cs="宋体"/>
          <w:bCs/>
          <w:sz w:val="24"/>
          <w:lang w:eastAsia="zh-CN"/>
        </w:rPr>
      </w:pPr>
      <w:r>
        <w:rPr>
          <w:rFonts w:hint="eastAsia" w:ascii="宋体" w:hAnsi="宋体" w:cs="宋体"/>
          <w:bCs/>
          <w:sz w:val="24"/>
          <w:lang w:val="en-US" w:eastAsia="zh-CN"/>
        </w:rPr>
        <w:t>2、</w:t>
      </w:r>
      <w:r>
        <w:rPr>
          <w:rFonts w:hint="eastAsia" w:ascii="宋体" w:hAnsi="宋体" w:eastAsia="宋体" w:cs="宋体"/>
          <w:bCs/>
          <w:sz w:val="24"/>
          <w:lang w:eastAsia="zh-CN"/>
        </w:rPr>
        <w:t>项目负责人必须持有建筑工程一级建造师或电气管理工程技术高级工程师资质证书</w:t>
      </w:r>
      <w:r>
        <w:rPr>
          <w:rFonts w:hint="eastAsia" w:ascii="宋体" w:hAnsi="宋体" w:cs="宋体"/>
          <w:bCs/>
          <w:sz w:val="24"/>
          <w:lang w:eastAsia="zh-CN"/>
        </w:rPr>
        <w:t>。</w:t>
      </w:r>
    </w:p>
    <w:p w14:paraId="3ABE07C1">
      <w:pPr>
        <w:widowControl/>
        <w:numPr>
          <w:ilvl w:val="0"/>
          <w:numId w:val="0"/>
        </w:numPr>
        <w:adjustRightInd w:val="0"/>
        <w:snapToGrid w:val="0"/>
        <w:spacing w:line="360" w:lineRule="auto"/>
        <w:ind w:firstLine="480" w:firstLineChars="200"/>
        <w:jc w:val="left"/>
        <w:rPr>
          <w:rFonts w:hint="eastAsia" w:ascii="宋体" w:hAnsi="宋体" w:cs="宋体"/>
          <w:bCs/>
          <w:sz w:val="24"/>
          <w:lang w:eastAsia="zh-CN"/>
        </w:rPr>
      </w:pPr>
      <w:r>
        <w:rPr>
          <w:rFonts w:hint="eastAsia" w:ascii="宋体" w:hAnsi="宋体" w:cs="宋体"/>
          <w:bCs/>
          <w:sz w:val="24"/>
          <w:lang w:val="en-US" w:eastAsia="zh-CN"/>
        </w:rPr>
        <w:t>3、</w:t>
      </w:r>
      <w:r>
        <w:rPr>
          <w:rFonts w:hint="eastAsia" w:ascii="宋体" w:hAnsi="宋体" w:cs="宋体"/>
          <w:bCs/>
          <w:sz w:val="24"/>
          <w:lang w:eastAsia="zh-CN"/>
        </w:rPr>
        <w:t>中标人应为维保项目配备固定5名持有高压电工作业证的电气维保专业技术人员，以便能稳定、熟练、及时的提供持续响应服务(提供相应人员最近3个月本单位缴纳社保的证明)，并要求每次维保人员不少于2人。</w:t>
      </w:r>
    </w:p>
    <w:p w14:paraId="5A45C366">
      <w:pPr>
        <w:widowControl/>
        <w:numPr>
          <w:ilvl w:val="0"/>
          <w:numId w:val="0"/>
        </w:numPr>
        <w:adjustRightInd w:val="0"/>
        <w:snapToGrid w:val="0"/>
        <w:spacing w:line="360" w:lineRule="auto"/>
        <w:ind w:firstLine="480" w:firstLineChars="200"/>
        <w:jc w:val="left"/>
        <w:rPr>
          <w:rFonts w:hint="eastAsia" w:ascii="宋体" w:hAnsi="宋体" w:cs="宋体"/>
          <w:bCs/>
          <w:sz w:val="24"/>
          <w:lang w:eastAsia="zh-CN"/>
        </w:rPr>
      </w:pPr>
      <w:r>
        <w:rPr>
          <w:rFonts w:hint="eastAsia" w:ascii="宋体" w:hAnsi="宋体" w:cs="宋体"/>
          <w:bCs/>
          <w:sz w:val="24"/>
          <w:lang w:val="en-US" w:eastAsia="zh-CN"/>
        </w:rPr>
        <w:t>4、</w:t>
      </w:r>
      <w:r>
        <w:rPr>
          <w:rFonts w:hint="eastAsia" w:ascii="宋体" w:hAnsi="宋体" w:cs="宋体"/>
          <w:bCs/>
          <w:sz w:val="24"/>
          <w:lang w:eastAsia="zh-CN"/>
        </w:rPr>
        <w:t>当进行配电系统预防性试验或其他维修作业时，投标人投入本服务项目的技术人员，包括继电保护作业人员、电气试验作业人员、电力电缆作业人员、高压作业人员、低压作业人员，需持有</w:t>
      </w:r>
      <w:r>
        <w:rPr>
          <w:rFonts w:hint="eastAsia" w:ascii="宋体" w:hAnsi="宋体" w:cs="宋体"/>
          <w:bCs/>
          <w:sz w:val="24"/>
          <w:lang w:val="en-US" w:eastAsia="zh-CN"/>
        </w:rPr>
        <w:t>相关作业证</w:t>
      </w:r>
      <w:r>
        <w:rPr>
          <w:rFonts w:hint="eastAsia" w:ascii="宋体" w:hAnsi="宋体" w:cs="宋体"/>
          <w:bCs/>
          <w:sz w:val="24"/>
          <w:lang w:eastAsia="zh-CN"/>
        </w:rPr>
        <w:t>。</w:t>
      </w:r>
    </w:p>
    <w:p w14:paraId="260DA3AC">
      <w:pPr>
        <w:widowControl/>
        <w:adjustRightInd w:val="0"/>
        <w:snapToGrid w:val="0"/>
        <w:spacing w:line="360" w:lineRule="auto"/>
        <w:ind w:firstLine="482" w:firstLineChars="200"/>
        <w:rPr>
          <w:rFonts w:hint="eastAsia" w:ascii="宋体" w:hAnsi="宋体" w:cs="宋体"/>
          <w:b/>
          <w:bCs w:val="0"/>
          <w:sz w:val="24"/>
          <w:lang w:val="en-US" w:eastAsia="zh-CN"/>
        </w:rPr>
      </w:pPr>
      <w:r>
        <w:rPr>
          <w:rFonts w:hint="eastAsia" w:ascii="宋体" w:hAnsi="宋体" w:cs="宋体"/>
          <w:b/>
          <w:bCs w:val="0"/>
          <w:sz w:val="24"/>
          <w:lang w:val="en-US" w:eastAsia="zh-CN"/>
        </w:rPr>
        <w:t>六、付款方式</w:t>
      </w:r>
    </w:p>
    <w:p w14:paraId="4C21BC8B">
      <w:pPr>
        <w:widowControl/>
        <w:adjustRightInd w:val="0"/>
        <w:snapToGrid w:val="0"/>
        <w:spacing w:line="360" w:lineRule="auto"/>
        <w:ind w:firstLine="480" w:firstLineChars="200"/>
        <w:rPr>
          <w:rFonts w:hint="eastAsia" w:ascii="宋体" w:hAnsi="宋体" w:cs="宋体"/>
          <w:bCs/>
          <w:sz w:val="24"/>
          <w:lang w:val="en-US" w:eastAsia="zh-CN"/>
        </w:rPr>
      </w:pPr>
      <w:r>
        <w:rPr>
          <w:rFonts w:hint="eastAsia" w:ascii="宋体" w:hAnsi="宋体" w:cs="宋体"/>
          <w:bCs/>
          <w:sz w:val="24"/>
          <w:lang w:val="en-US" w:eastAsia="zh-CN"/>
        </w:rPr>
        <w:t>经院方考核后，根据考核结果按月支付维保费用。每个月末，甲方于收到乙方开出的合法有效等额发票及出具的经甲方书面审核合格的电梯维保工作报告后，3个月内向乙方支付该月的维护保养费。</w:t>
      </w:r>
    </w:p>
    <w:p w14:paraId="5B5226F4">
      <w:pPr>
        <w:widowControl/>
        <w:adjustRightInd w:val="0"/>
        <w:snapToGrid w:val="0"/>
        <w:spacing w:line="360" w:lineRule="auto"/>
        <w:ind w:firstLine="480" w:firstLineChars="200"/>
        <w:rPr>
          <w:rFonts w:hint="eastAsia" w:ascii="宋体" w:hAnsi="宋体" w:cs="宋体"/>
          <w:bCs/>
          <w:sz w:val="24"/>
          <w:lang w:val="en-US" w:eastAsia="zh-CN"/>
        </w:rPr>
      </w:pPr>
    </w:p>
    <w:p w14:paraId="40E31A4D">
      <w:pPr>
        <w:jc w:val="right"/>
        <w:rPr>
          <w:rFonts w:hint="eastAsia" w:ascii="宋体" w:hAnsi="宋体" w:cs="宋体"/>
          <w:bCs/>
          <w:sz w:val="24"/>
        </w:rPr>
      </w:pPr>
      <w:r>
        <w:rPr>
          <w:rFonts w:hint="eastAsia" w:ascii="宋体" w:hAnsi="宋体" w:cs="宋体"/>
          <w:bCs/>
          <w:sz w:val="24"/>
        </w:rPr>
        <w:t xml:space="preserve">   珠海市中西医结合医院</w:t>
      </w:r>
    </w:p>
    <w:p w14:paraId="21698A81">
      <w:pPr>
        <w:jc w:val="center"/>
        <w:rPr>
          <w:rFonts w:hint="eastAsia" w:ascii="宋体" w:hAnsi="宋体" w:cs="宋体"/>
          <w:bCs/>
          <w:sz w:val="24"/>
        </w:rPr>
      </w:pPr>
      <w:r>
        <w:rPr>
          <w:rFonts w:hint="eastAsia" w:ascii="宋体" w:hAnsi="宋体" w:cs="宋体"/>
          <w:bCs/>
          <w:sz w:val="24"/>
        </w:rPr>
        <w:t xml:space="preserve">                                                   </w:t>
      </w:r>
      <w:r>
        <w:rPr>
          <w:rFonts w:hint="eastAsia" w:ascii="宋体" w:hAnsi="宋体" w:cs="宋体"/>
          <w:bCs/>
          <w:sz w:val="24"/>
          <w:lang w:eastAsia="zh-CN"/>
        </w:rPr>
        <w:t>总务</w:t>
      </w:r>
      <w:r>
        <w:rPr>
          <w:rFonts w:hint="eastAsia" w:ascii="宋体" w:hAnsi="宋体" w:cs="宋体"/>
          <w:bCs/>
          <w:sz w:val="24"/>
        </w:rPr>
        <w:t>部</w:t>
      </w:r>
    </w:p>
    <w:p w14:paraId="082F63D8">
      <w:pPr>
        <w:jc w:val="left"/>
        <w:rPr>
          <w:rFonts w:hint="eastAsia" w:ascii="宋体" w:hAnsi="宋体" w:cs="宋体"/>
          <w:bCs/>
          <w:sz w:val="24"/>
        </w:rPr>
      </w:pPr>
    </w:p>
    <w:p w14:paraId="03D0EB9C">
      <w:pPr>
        <w:rPr>
          <w:rFonts w:hint="eastAsia" w:ascii="宋体" w:hAnsi="宋体" w:cs="宋体"/>
          <w:bCs/>
          <w:sz w:val="24"/>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7786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45E101">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5545E101">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mNDg5ZDYyNDU5MDYxNjUwZjJkY2JlODEzMjNkNDUifQ=="/>
  </w:docVars>
  <w:rsids>
    <w:rsidRoot w:val="00956595"/>
    <w:rsid w:val="001E32A1"/>
    <w:rsid w:val="00314F79"/>
    <w:rsid w:val="00646312"/>
    <w:rsid w:val="00956595"/>
    <w:rsid w:val="00D86558"/>
    <w:rsid w:val="01AB23DF"/>
    <w:rsid w:val="02CA2411"/>
    <w:rsid w:val="04D961D2"/>
    <w:rsid w:val="05F215DA"/>
    <w:rsid w:val="06BC62C2"/>
    <w:rsid w:val="089445F5"/>
    <w:rsid w:val="09F2525B"/>
    <w:rsid w:val="0A394D32"/>
    <w:rsid w:val="0AF61380"/>
    <w:rsid w:val="0BEE4319"/>
    <w:rsid w:val="0E2E284C"/>
    <w:rsid w:val="0E384C75"/>
    <w:rsid w:val="0F596DD9"/>
    <w:rsid w:val="109721F0"/>
    <w:rsid w:val="10A9484F"/>
    <w:rsid w:val="10CC228F"/>
    <w:rsid w:val="10E261B1"/>
    <w:rsid w:val="12470936"/>
    <w:rsid w:val="14056FCA"/>
    <w:rsid w:val="15494AF6"/>
    <w:rsid w:val="161019F1"/>
    <w:rsid w:val="1AF7289A"/>
    <w:rsid w:val="1D141E15"/>
    <w:rsid w:val="1FA77D7C"/>
    <w:rsid w:val="208330B8"/>
    <w:rsid w:val="2150247C"/>
    <w:rsid w:val="230F7DC9"/>
    <w:rsid w:val="253C19F6"/>
    <w:rsid w:val="26E478C3"/>
    <w:rsid w:val="274C7C07"/>
    <w:rsid w:val="2A046A9A"/>
    <w:rsid w:val="2A442517"/>
    <w:rsid w:val="2A7124F1"/>
    <w:rsid w:val="2ABF66C9"/>
    <w:rsid w:val="2B1044F4"/>
    <w:rsid w:val="2B815643"/>
    <w:rsid w:val="2BF10F0D"/>
    <w:rsid w:val="2FD83204"/>
    <w:rsid w:val="309B71A2"/>
    <w:rsid w:val="326F499F"/>
    <w:rsid w:val="347A6720"/>
    <w:rsid w:val="34B84026"/>
    <w:rsid w:val="35A54B95"/>
    <w:rsid w:val="3672117D"/>
    <w:rsid w:val="37465132"/>
    <w:rsid w:val="387621B1"/>
    <w:rsid w:val="387C718B"/>
    <w:rsid w:val="39DA2225"/>
    <w:rsid w:val="39F7798F"/>
    <w:rsid w:val="3A0100BD"/>
    <w:rsid w:val="3B1968AD"/>
    <w:rsid w:val="3C3A31D9"/>
    <w:rsid w:val="3D1A302F"/>
    <w:rsid w:val="40AD1F78"/>
    <w:rsid w:val="41C41101"/>
    <w:rsid w:val="41F74B66"/>
    <w:rsid w:val="4232169D"/>
    <w:rsid w:val="45090FEE"/>
    <w:rsid w:val="45E51BD9"/>
    <w:rsid w:val="473D4CBB"/>
    <w:rsid w:val="481446BB"/>
    <w:rsid w:val="4849219C"/>
    <w:rsid w:val="49903B46"/>
    <w:rsid w:val="4DBB1142"/>
    <w:rsid w:val="4EE7286F"/>
    <w:rsid w:val="508205CE"/>
    <w:rsid w:val="50E5374C"/>
    <w:rsid w:val="53C24C7C"/>
    <w:rsid w:val="545A5203"/>
    <w:rsid w:val="556D6BE9"/>
    <w:rsid w:val="560D4FDF"/>
    <w:rsid w:val="561B0A15"/>
    <w:rsid w:val="56CC2D80"/>
    <w:rsid w:val="57811FC9"/>
    <w:rsid w:val="5A816D3E"/>
    <w:rsid w:val="5B75239C"/>
    <w:rsid w:val="5CD02427"/>
    <w:rsid w:val="5D2E4F44"/>
    <w:rsid w:val="5DAB3A48"/>
    <w:rsid w:val="634E77AA"/>
    <w:rsid w:val="6A5430DB"/>
    <w:rsid w:val="6A5864E9"/>
    <w:rsid w:val="6B1545DE"/>
    <w:rsid w:val="6DD10457"/>
    <w:rsid w:val="6E237515"/>
    <w:rsid w:val="6FC1387B"/>
    <w:rsid w:val="705F2453"/>
    <w:rsid w:val="70FE54E7"/>
    <w:rsid w:val="71C57E2C"/>
    <w:rsid w:val="722135F2"/>
    <w:rsid w:val="727D1FBC"/>
    <w:rsid w:val="72982681"/>
    <w:rsid w:val="729B5FC0"/>
    <w:rsid w:val="7338355D"/>
    <w:rsid w:val="73B31C3E"/>
    <w:rsid w:val="73E80006"/>
    <w:rsid w:val="75FF080A"/>
    <w:rsid w:val="76080E37"/>
    <w:rsid w:val="76576537"/>
    <w:rsid w:val="7A5709A7"/>
    <w:rsid w:val="7AB90228"/>
    <w:rsid w:val="7B1B17E4"/>
    <w:rsid w:val="7CFA5C81"/>
    <w:rsid w:val="7FE45E2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Body Text Indent"/>
    <w:basedOn w:val="1"/>
    <w:qFormat/>
    <w:uiPriority w:val="0"/>
    <w:pPr>
      <w:spacing w:line="360" w:lineRule="auto"/>
      <w:ind w:left="716" w:leftChars="341" w:firstLine="2"/>
    </w:pPr>
    <w:rPr>
      <w:rFonts w:ascii="宋体" w:hAnsi="宋体"/>
      <w:bCs/>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qFormat/>
    <w:uiPriority w:val="0"/>
    <w:rPr>
      <w:color w:val="555555"/>
      <w:u w:val="none"/>
    </w:rPr>
  </w:style>
  <w:style w:type="character" w:styleId="11">
    <w:name w:val="Hyperlink"/>
    <w:basedOn w:val="9"/>
    <w:qFormat/>
    <w:uiPriority w:val="0"/>
    <w:rPr>
      <w:color w:val="555555"/>
      <w:u w:val="none"/>
    </w:rPr>
  </w:style>
  <w:style w:type="character" w:customStyle="1" w:styleId="12">
    <w:name w:val="页脚 Char"/>
    <w:basedOn w:val="9"/>
    <w:link w:val="5"/>
    <w:qFormat/>
    <w:uiPriority w:val="0"/>
    <w:rPr>
      <w:kern w:val="2"/>
      <w:sz w:val="18"/>
      <w:szCs w:val="18"/>
    </w:rPr>
  </w:style>
  <w:style w:type="character" w:customStyle="1" w:styleId="13">
    <w:name w:val="页眉 Char"/>
    <w:basedOn w:val="9"/>
    <w:link w:val="6"/>
    <w:qFormat/>
    <w:uiPriority w:val="0"/>
    <w:rPr>
      <w:kern w:val="2"/>
      <w:sz w:val="18"/>
      <w:szCs w:val="18"/>
    </w:rPr>
  </w:style>
  <w:style w:type="character" w:customStyle="1" w:styleId="14">
    <w:name w:val="target_fixed"/>
    <w:basedOn w:val="9"/>
    <w:qFormat/>
    <w:uiPriority w:val="0"/>
  </w:style>
  <w:style w:type="character" w:customStyle="1" w:styleId="15">
    <w:name w:val="button"/>
    <w:basedOn w:val="9"/>
    <w:qFormat/>
    <w:uiPriority w:val="0"/>
  </w:style>
  <w:style w:type="character" w:customStyle="1" w:styleId="16">
    <w:name w:val="tmpztreemove_arrow"/>
    <w:basedOn w:val="9"/>
    <w:qFormat/>
    <w:uiPriority w:val="0"/>
  </w:style>
  <w:style w:type="character" w:customStyle="1" w:styleId="17">
    <w:name w:val="on"/>
    <w:basedOn w:val="9"/>
    <w:qFormat/>
    <w:uiPriority w:val="0"/>
    <w:rPr>
      <w:vanish/>
      <w:shd w:val="clear" w:color="auto" w:fill="FFFFFF"/>
    </w:rPr>
  </w:style>
  <w:style w:type="paragraph" w:styleId="18">
    <w:name w:val="List Paragraph"/>
    <w:basedOn w:val="1"/>
    <w:qFormat/>
    <w:uiPriority w:val="99"/>
    <w:pPr>
      <w:ind w:firstLine="420" w:firstLineChars="200"/>
    </w:pPr>
  </w:style>
  <w:style w:type="paragraph" w:customStyle="1" w:styleId="1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纯文本_0"/>
    <w:basedOn w:val="19"/>
    <w:next w:val="19"/>
    <w:qFormat/>
    <w:uiPriority w:val="0"/>
    <w:rPr>
      <w:rFonts w:ascii="宋体" w:hAnsi="Courier New"/>
      <w:kern w:val="0"/>
      <w:sz w:val="2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3321</Words>
  <Characters>3625</Characters>
  <Lines>2</Lines>
  <Paragraphs>1</Paragraphs>
  <TotalTime>16</TotalTime>
  <ScaleCrop>false</ScaleCrop>
  <LinksUpToDate>false</LinksUpToDate>
  <CharactersWithSpaces>3686</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2018-10-23T11:43:00Z</dcterms:created>
  <dc:creator>SDWM</dc:creator>
  <cp:lastModifiedBy>钟爱玲</cp:lastModifiedBy>
  <cp:lastPrinted>2023-09-28T02:42:00Z</cp:lastPrinted>
  <dcterms:modified xsi:type="dcterms:W3CDTF">2025-08-19T15:47:54Z</dcterms:modified>
  <dc:title>投标资质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0D64E16FE50F47249CA185BD0118A92A_13</vt:lpwstr>
  </property>
  <property fmtid="{D5CDD505-2E9C-101B-9397-08002B2CF9AE}" pid="4" name="KSOTemplateDocerSaveRecord">
    <vt:lpwstr>eyJoZGlkIjoiMzEwNTM5NzYwMDRjMzkwZTVkZjY2ODkwMGIxNGU0OTUiLCJ1c2VySWQiOiIyNjY2MjUxODYifQ==</vt:lpwstr>
  </property>
</Properties>
</file>