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9EA7">
      <w:pPr>
        <w:jc w:val="center"/>
        <w:rPr>
          <w:rFonts w:hint="eastAsia"/>
          <w:b/>
          <w:sz w:val="28"/>
          <w:szCs w:val="28"/>
          <w:lang w:val="en-US" w:eastAsia="zh-CN"/>
        </w:rPr>
      </w:pPr>
      <w:r>
        <w:rPr>
          <w:rFonts w:hint="eastAsia"/>
          <w:b/>
          <w:sz w:val="28"/>
          <w:szCs w:val="28"/>
          <w:lang w:val="en-US" w:eastAsia="zh-CN"/>
        </w:rPr>
        <w:t>珠海市中西医结合医院</w:t>
      </w:r>
    </w:p>
    <w:p w14:paraId="6C4905CC">
      <w:pPr>
        <w:jc w:val="center"/>
        <w:rPr>
          <w:rFonts w:hint="eastAsia"/>
          <w:b/>
          <w:sz w:val="28"/>
          <w:szCs w:val="28"/>
        </w:rPr>
      </w:pPr>
      <w:r>
        <w:rPr>
          <w:rFonts w:hint="eastAsia"/>
          <w:b/>
          <w:sz w:val="28"/>
          <w:szCs w:val="28"/>
          <w:lang w:val="en-US" w:eastAsia="zh-CN"/>
        </w:rPr>
        <w:t>电气年度维护保养采购项目</w:t>
      </w:r>
      <w:bookmarkStart w:id="0" w:name="_GoBack"/>
      <w:bookmarkEnd w:id="0"/>
      <w:r>
        <w:rPr>
          <w:rFonts w:hint="eastAsia"/>
          <w:b/>
          <w:sz w:val="28"/>
          <w:szCs w:val="28"/>
        </w:rPr>
        <w:t>用户需求</w:t>
      </w:r>
    </w:p>
    <w:p w14:paraId="6CCBD5C2">
      <w:pPr>
        <w:pStyle w:val="3"/>
        <w:snapToGrid w:val="0"/>
        <w:ind w:left="816" w:leftChars="229" w:hanging="335" w:hangingChars="139"/>
        <w:rPr>
          <w:rFonts w:hint="eastAsia" w:cs="宋体"/>
          <w:b/>
          <w:sz w:val="24"/>
        </w:rPr>
      </w:pPr>
      <w:r>
        <w:rPr>
          <w:rFonts w:hint="eastAsia" w:cs="宋体"/>
          <w:b/>
          <w:sz w:val="24"/>
        </w:rPr>
        <w:t>一、招标工程概况</w:t>
      </w:r>
    </w:p>
    <w:p w14:paraId="225A9B96">
      <w:pPr>
        <w:widowControl/>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1、招标项目名称：珠海市中西医结合医院</w:t>
      </w:r>
      <w:r>
        <w:rPr>
          <w:rFonts w:hint="eastAsia" w:ascii="宋体" w:hAnsi="宋体" w:cs="宋体"/>
          <w:bCs/>
          <w:sz w:val="24"/>
          <w:lang w:eastAsia="zh-CN"/>
        </w:rPr>
        <w:t>电气年度维护保养采购项目</w:t>
      </w:r>
    </w:p>
    <w:p w14:paraId="2685D9A3">
      <w:pPr>
        <w:widowControl/>
        <w:numPr>
          <w:ilvl w:val="0"/>
          <w:numId w:val="0"/>
        </w:num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项目地点：珠海市中西医结合医院</w:t>
      </w:r>
    </w:p>
    <w:p w14:paraId="28599308">
      <w:pPr>
        <w:widowControl/>
        <w:numPr>
          <w:ilvl w:val="0"/>
          <w:numId w:val="0"/>
        </w:numPr>
        <w:adjustRightInd w:val="0"/>
        <w:snapToGrid w:val="0"/>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rPr>
        <w:t>项目内容:按照国家及行业标准规定内容对我院</w:t>
      </w:r>
      <w:r>
        <w:rPr>
          <w:rFonts w:hint="eastAsia" w:ascii="宋体" w:hAnsi="宋体" w:cs="宋体"/>
          <w:bCs/>
          <w:sz w:val="24"/>
          <w:lang w:eastAsia="zh-CN"/>
        </w:rPr>
        <w:t>电气系统进行维护保养。</w:t>
      </w:r>
    </w:p>
    <w:p w14:paraId="0B92DFA3">
      <w:pPr>
        <w:widowControl/>
        <w:numPr>
          <w:ilvl w:val="0"/>
          <w:numId w:val="0"/>
        </w:numPr>
        <w:adjustRightInd w:val="0"/>
        <w:snapToGrid w:val="0"/>
        <w:spacing w:line="360" w:lineRule="auto"/>
        <w:ind w:firstLine="480" w:firstLineChars="200"/>
        <w:rPr>
          <w:rFonts w:hint="eastAsia" w:ascii="宋体" w:hAnsi="宋体" w:eastAsia="宋体" w:cs="宋体"/>
          <w:bCs/>
          <w:sz w:val="24"/>
          <w:lang w:eastAsia="zh-CN"/>
        </w:rPr>
      </w:pPr>
      <w:r>
        <w:rPr>
          <w:rFonts w:hint="eastAsia" w:ascii="宋体" w:hAnsi="宋体" w:cs="宋体"/>
          <w:bCs/>
          <w:sz w:val="24"/>
          <w:lang w:val="en-US" w:eastAsia="zh-CN"/>
        </w:rPr>
        <w:t>4、维保期限</w:t>
      </w: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年（1+1模式）。</w:t>
      </w:r>
    </w:p>
    <w:p w14:paraId="1A2EEA8F">
      <w:pPr>
        <w:widowControl/>
        <w:spacing w:line="360" w:lineRule="auto"/>
        <w:ind w:firstLine="482"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二、维保服务内容</w:t>
      </w:r>
    </w:p>
    <w:p w14:paraId="7DC27FEE">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负责对我院全院变配电系统及高压设备进行维护保养，其维护范围包含并不限于：</w:t>
      </w:r>
    </w:p>
    <w:p w14:paraId="695B50BE">
      <w:pPr>
        <w:widowControl/>
        <w:numPr>
          <w:ilvl w:val="0"/>
          <w:numId w:val="1"/>
        </w:numPr>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原</w:t>
      </w:r>
      <w:r>
        <w:rPr>
          <w:rFonts w:hint="eastAsia" w:ascii="宋体" w:hAnsi="宋体" w:eastAsia="宋体" w:cs="宋体"/>
          <w:color w:val="000000"/>
          <w:kern w:val="0"/>
          <w:sz w:val="24"/>
          <w:szCs w:val="24"/>
          <w:lang w:val="en-US" w:eastAsia="zh-CN"/>
        </w:rPr>
        <w:t>供配电系统：①10KV高压配电房（高压柜19面）；②室内干式2000KVA变压器两台、800KVA两台；③变压器高压联络电缆4条；④低压配电房（低压柜28面）；⑤发电机房（低压柜9面）。</w:t>
      </w:r>
    </w:p>
    <w:p w14:paraId="13592316">
      <w:pPr>
        <w:widowControl/>
        <w:numPr>
          <w:ilvl w:val="0"/>
          <w:numId w:val="1"/>
        </w:numPr>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新建综合大楼供配电系统：</w:t>
      </w:r>
      <w:r>
        <w:rPr>
          <w:rFonts w:hint="eastAsia" w:ascii="宋体" w:hAnsi="宋体" w:eastAsia="宋体" w:cs="宋体"/>
          <w:color w:val="000000"/>
          <w:kern w:val="0"/>
          <w:sz w:val="24"/>
          <w:szCs w:val="24"/>
          <w:lang w:val="en-US" w:eastAsia="zh-CN"/>
        </w:rPr>
        <w:t>①10KV高压配电房（高压柜1</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面）；②室内干式2000KVA变压器</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台；③变压器高压联络电缆4条；④低压配电房（低压柜</w:t>
      </w:r>
      <w:r>
        <w:rPr>
          <w:rFonts w:hint="eastAsia" w:ascii="宋体" w:hAnsi="宋体" w:cs="宋体"/>
          <w:color w:val="000000"/>
          <w:kern w:val="0"/>
          <w:sz w:val="24"/>
          <w:szCs w:val="24"/>
          <w:lang w:val="en-US" w:eastAsia="zh-CN"/>
        </w:rPr>
        <w:t>59</w:t>
      </w:r>
      <w:r>
        <w:rPr>
          <w:rFonts w:hint="eastAsia" w:ascii="宋体" w:hAnsi="宋体" w:eastAsia="宋体" w:cs="宋体"/>
          <w:color w:val="000000"/>
          <w:kern w:val="0"/>
          <w:sz w:val="24"/>
          <w:szCs w:val="24"/>
          <w:lang w:val="en-US" w:eastAsia="zh-CN"/>
        </w:rPr>
        <w:t>面）；⑤发电机房。</w:t>
      </w:r>
    </w:p>
    <w:p w14:paraId="0F86CE42">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、其它设备设施：接地装置。</w:t>
      </w:r>
    </w:p>
    <w:p w14:paraId="040D4205">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、按照国家标准每月对全院变配电系统进行维保并出具维保报告。</w:t>
      </w:r>
    </w:p>
    <w:p w14:paraId="09D1AF3F">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、每年对院内供配电系统进行一次预防性试验并出具报告。</w:t>
      </w:r>
    </w:p>
    <w:p w14:paraId="64518932">
      <w:pPr>
        <w:widowControl/>
        <w:ind w:firstLine="480" w:firstLineChars="200"/>
        <w:jc w:val="left"/>
        <w:rPr>
          <w:rFonts w:hint="eastAsia" w:ascii="宋体" w:hAnsi="宋体" w:eastAsia="宋体" w:cs="宋体"/>
          <w:b/>
          <w:bCs/>
          <w:sz w:val="24"/>
          <w:szCs w:val="24"/>
          <w:lang w:eastAsia="zh-CN"/>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、每半年一次免费为高压绝缘靴及高压绝缘手套等做检验，每年一次免费为高压验电笔做检验。</w:t>
      </w:r>
    </w:p>
    <w:p w14:paraId="508C326B">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eastAsia="zh-CN"/>
        </w:rPr>
        <w:t>三、资质要求</w:t>
      </w:r>
    </w:p>
    <w:p w14:paraId="60668186">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1、投标人具有独立法人资格，提供有效的营业执照复印件。</w:t>
      </w:r>
    </w:p>
    <w:p w14:paraId="6C34760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2、投标人须具有由国家能源监管局颁发的《承装（修、试）电力设施许可证》并包含承装、修、试类</w:t>
      </w:r>
      <w:r>
        <w:rPr>
          <w:rFonts w:hint="eastAsia" w:ascii="宋体" w:hAnsi="宋体" w:cs="宋体"/>
          <w:bCs/>
          <w:sz w:val="24"/>
          <w:lang w:eastAsia="zh-CN"/>
        </w:rPr>
        <w:t>五</w:t>
      </w:r>
      <w:r>
        <w:rPr>
          <w:rFonts w:hint="eastAsia" w:ascii="宋体" w:hAnsi="宋体" w:eastAsia="宋体" w:cs="宋体"/>
          <w:bCs/>
          <w:sz w:val="24"/>
          <w:lang w:eastAsia="zh-CN"/>
        </w:rPr>
        <w:t>级或以上资质，并具有由省住房和城乡建设厅颁发的建筑施工《安全生产许可证》。</w:t>
      </w:r>
    </w:p>
    <w:p w14:paraId="1814CF0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信用要求：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166E21FA">
      <w:pPr>
        <w:rPr>
          <w:rFonts w:hint="eastAsia" w:cs="宋体"/>
          <w:b/>
          <w:sz w:val="24"/>
          <w:lang w:eastAsia="zh-CN"/>
        </w:rPr>
      </w:pPr>
      <w:r>
        <w:rPr>
          <w:rFonts w:hint="eastAsia" w:cs="宋体"/>
          <w:b/>
          <w:sz w:val="24"/>
          <w:lang w:eastAsia="zh-CN"/>
        </w:rPr>
        <w:br w:type="page"/>
      </w:r>
    </w:p>
    <w:p w14:paraId="03076EBC">
      <w:pPr>
        <w:pStyle w:val="3"/>
        <w:snapToGrid w:val="0"/>
        <w:ind w:left="816" w:leftChars="229" w:hanging="335" w:hangingChars="139"/>
        <w:rPr>
          <w:rFonts w:hint="eastAsia" w:eastAsia="宋体" w:cs="宋体"/>
          <w:b/>
          <w:sz w:val="24"/>
          <w:lang w:eastAsia="zh-CN"/>
        </w:rPr>
      </w:pPr>
      <w:r>
        <w:rPr>
          <w:rFonts w:hint="eastAsia" w:cs="宋体"/>
          <w:b/>
          <w:sz w:val="24"/>
          <w:lang w:eastAsia="zh-CN"/>
        </w:rPr>
        <w:t>四</w:t>
      </w:r>
      <w:r>
        <w:rPr>
          <w:rFonts w:hint="eastAsia" w:cs="宋体"/>
          <w:b/>
          <w:sz w:val="24"/>
        </w:rPr>
        <w:t>、</w:t>
      </w:r>
      <w:r>
        <w:rPr>
          <w:rFonts w:hint="eastAsia" w:cs="宋体"/>
          <w:b/>
          <w:sz w:val="24"/>
          <w:lang w:eastAsia="zh-CN"/>
        </w:rPr>
        <w:t>服务要求</w:t>
      </w:r>
    </w:p>
    <w:p w14:paraId="6224E8A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1、本项目包含并不限于对全院变配电系统及高压设备进行维护保养、预防性试验，并负责高、低压配电房、变压器室</w:t>
      </w:r>
      <w:r>
        <w:rPr>
          <w:rFonts w:hint="eastAsia" w:ascii="宋体" w:hAnsi="宋体" w:cs="宋体"/>
          <w:bCs/>
          <w:sz w:val="24"/>
          <w:lang w:eastAsia="zh-CN"/>
        </w:rPr>
        <w:t>、</w:t>
      </w:r>
      <w:r>
        <w:rPr>
          <w:rFonts w:hint="eastAsia" w:ascii="宋体" w:hAnsi="宋体" w:cs="宋体"/>
          <w:bCs/>
          <w:sz w:val="24"/>
          <w:lang w:val="en-US" w:eastAsia="zh-CN"/>
        </w:rPr>
        <w:t>发电机房</w:t>
      </w:r>
      <w:r>
        <w:rPr>
          <w:rFonts w:hint="eastAsia" w:ascii="宋体" w:hAnsi="宋体" w:eastAsia="宋体" w:cs="宋体"/>
          <w:bCs/>
          <w:sz w:val="24"/>
          <w:lang w:eastAsia="zh-CN"/>
        </w:rPr>
        <w:t>等相关机房的清洁卫生及安全管理工作，保障全院电气系统的正常、安全运行等。</w:t>
      </w:r>
    </w:p>
    <w:p w14:paraId="384764E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2、投标人在投标时提供详细具体的维保方案。</w:t>
      </w:r>
    </w:p>
    <w:p w14:paraId="328E361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3、中标人每月须对运维的供配电设施至少进行一次维护保养，并在15日前完成，次月10日前向院方出具维保报告。</w:t>
      </w:r>
    </w:p>
    <w:p w14:paraId="2CAFD70A">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4、中标人设立24小时值班电话且保证24小时通讯畅通，以便能及时联系响应。</w:t>
      </w:r>
    </w:p>
    <w:p w14:paraId="16078BDE">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5、在接到院方紧急故障报修时，中标人需在30分钟内赶到现场维修处理，及时维修并在60分钟内修复电路故障；在接到一般故障报修时，需在4小时内赶到现场，并在24小时内维修恢复正常运行。</w:t>
      </w:r>
    </w:p>
    <w:p w14:paraId="3F90E79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6、对院方执行有关的电力法规、政策、规程和正确、安全用电等具有教育、建议、提示的义务，中标人应每年不少于一次向院方进行最新的用电政策及安全用电等教育宣讲。</w:t>
      </w:r>
    </w:p>
    <w:p w14:paraId="6219D9B6">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7、技术咨询与支持：为院方提供电气系统运行、改造、节能、安全等方面的技术咨询和建议；协助院方制定电气设备操作规程、应急预案。</w:t>
      </w:r>
    </w:p>
    <w:p w14:paraId="7FA8D17F">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8、</w:t>
      </w:r>
      <w:r>
        <w:rPr>
          <w:rFonts w:hint="eastAsia" w:ascii="宋体" w:hAnsi="宋体" w:eastAsia="宋体" w:cs="宋体"/>
          <w:bCs/>
          <w:sz w:val="24"/>
          <w:lang w:eastAsia="zh-CN"/>
        </w:rPr>
        <w:t>如遇台风自然灾害、突发停电等，院方有紧急供保电需求时，中标人在每年度维保服务期内免费为院方提供一个台班（12小时）的发电机租赁服务，发电机功率大小</w:t>
      </w:r>
      <w:r>
        <w:rPr>
          <w:rFonts w:hint="eastAsia" w:ascii="宋体" w:hAnsi="宋体" w:cs="宋体"/>
          <w:bCs/>
          <w:sz w:val="24"/>
          <w:lang w:eastAsia="zh-CN"/>
        </w:rPr>
        <w:t>、</w:t>
      </w:r>
      <w:r>
        <w:rPr>
          <w:rFonts w:hint="eastAsia" w:ascii="宋体" w:hAnsi="宋体" w:cs="宋体"/>
          <w:bCs/>
          <w:sz w:val="24"/>
          <w:lang w:val="en-US" w:eastAsia="zh-CN"/>
        </w:rPr>
        <w:t>数量</w:t>
      </w:r>
      <w:r>
        <w:rPr>
          <w:rFonts w:hint="eastAsia" w:ascii="宋体" w:hAnsi="宋体" w:eastAsia="宋体" w:cs="宋体"/>
          <w:bCs/>
          <w:sz w:val="24"/>
          <w:lang w:eastAsia="zh-CN"/>
        </w:rPr>
        <w:t>根据院方需求确定，除发电机所用柴油外，应当免费包含发电机租赁、发电机人员值守（至少2人）、电缆接驳、运输等。</w:t>
      </w:r>
    </w:p>
    <w:p w14:paraId="50382267">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9</w:t>
      </w:r>
      <w:r>
        <w:rPr>
          <w:rFonts w:hint="eastAsia" w:ascii="宋体" w:hAnsi="宋体" w:eastAsia="宋体" w:cs="宋体"/>
          <w:bCs/>
          <w:sz w:val="24"/>
          <w:lang w:eastAsia="zh-CN"/>
        </w:rPr>
        <w:t>、</w:t>
      </w:r>
      <w:r>
        <w:rPr>
          <w:rFonts w:hint="eastAsia" w:ascii="宋体" w:hAnsi="宋体" w:cs="宋体"/>
          <w:bCs/>
          <w:sz w:val="24"/>
          <w:lang w:val="en-US" w:eastAsia="zh-CN"/>
        </w:rPr>
        <w:t>超出一个台班后，</w:t>
      </w:r>
      <w:r>
        <w:rPr>
          <w:rFonts w:hint="eastAsia" w:ascii="宋体" w:hAnsi="宋体" w:eastAsia="宋体" w:cs="宋体"/>
          <w:bCs/>
          <w:sz w:val="24"/>
          <w:lang w:eastAsia="zh-CN"/>
        </w:rPr>
        <w:t>如遇台风自然灾害、突发停电等，院方有紧急供保电需求时，中标人应在接到院方紧急通知2个小时内提供发电设备及人员到院内，费用按投标单价结算。</w:t>
      </w:r>
    </w:p>
    <w:p w14:paraId="780DF9C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10</w:t>
      </w:r>
      <w:r>
        <w:rPr>
          <w:rFonts w:hint="eastAsia" w:ascii="宋体" w:hAnsi="宋体" w:eastAsia="宋体" w:cs="宋体"/>
          <w:bCs/>
          <w:sz w:val="24"/>
          <w:lang w:eastAsia="zh-CN"/>
        </w:rPr>
        <w:t>、变电站到医院的入户高压电缆发生故障时，中标人有责任协助院方进行抢修。</w:t>
      </w:r>
    </w:p>
    <w:p w14:paraId="25E833A8">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11</w:t>
      </w:r>
      <w:r>
        <w:rPr>
          <w:rFonts w:hint="eastAsia" w:ascii="宋体" w:hAnsi="宋体" w:eastAsia="宋体" w:cs="宋体"/>
          <w:bCs/>
          <w:sz w:val="24"/>
          <w:lang w:eastAsia="zh-CN"/>
        </w:rPr>
        <w:t>、中标人需严格按照有关电力政策法规要求做好全院变配电系统的维护保养工作，因中标人操作不当或未能尽职维保造成的安全事故及损失，由中标人承担全部责任。</w:t>
      </w:r>
    </w:p>
    <w:p w14:paraId="339C9DF2">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2</w:t>
      </w:r>
      <w:r>
        <w:rPr>
          <w:rFonts w:hint="eastAsia" w:ascii="宋体" w:hAnsi="宋体" w:eastAsia="宋体" w:cs="宋体"/>
          <w:bCs/>
          <w:sz w:val="24"/>
          <w:lang w:eastAsia="zh-CN"/>
        </w:rPr>
        <w:t>、中标人应为维保项目配备固定5名持有高压电工作业证的电气维保专业技术人员，以便能稳定、熟练、及时的提供持续响应服务(提供相应人员最近3个月本单位缴纳社保的证明)，并要求每次维保人员不少于2人。</w:t>
      </w:r>
    </w:p>
    <w:p w14:paraId="5BF09447">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3</w:t>
      </w:r>
      <w:r>
        <w:rPr>
          <w:rFonts w:hint="eastAsia" w:ascii="宋体" w:hAnsi="宋体" w:eastAsia="宋体" w:cs="宋体"/>
          <w:bCs/>
          <w:sz w:val="24"/>
          <w:lang w:eastAsia="zh-CN"/>
        </w:rPr>
        <w:t>、中标人需负责并配合院方完成电气相关的业务办理及上级检查等工作。</w:t>
      </w:r>
    </w:p>
    <w:p w14:paraId="0EA9F5AF">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4</w:t>
      </w:r>
      <w:r>
        <w:rPr>
          <w:rFonts w:hint="eastAsia" w:ascii="宋体" w:hAnsi="宋体" w:eastAsia="宋体" w:cs="宋体"/>
          <w:bCs/>
          <w:sz w:val="24"/>
          <w:lang w:eastAsia="zh-CN"/>
        </w:rPr>
        <w:t>、中标人维保作业时，需严格遵守施工安全要求，施工作业期间施工人员的安全行为与事故责任由中标人全部承担。</w:t>
      </w:r>
    </w:p>
    <w:p w14:paraId="71C69C6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5</w:t>
      </w:r>
      <w:r>
        <w:rPr>
          <w:rFonts w:hint="eastAsia" w:ascii="宋体" w:hAnsi="宋体" w:eastAsia="宋体" w:cs="宋体"/>
          <w:bCs/>
          <w:sz w:val="24"/>
          <w:lang w:eastAsia="zh-CN"/>
        </w:rPr>
        <w:t>、中标人在维保期间必须无条件遵守珠海市中西医结合医院的管理规定，不得损坏院方的基础设施与财物，维修保养时需做好围挡及安全警示工作，维保工作完成后需做好现场清理工作等。</w:t>
      </w:r>
    </w:p>
    <w:p w14:paraId="586F7D3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6</w:t>
      </w:r>
      <w:r>
        <w:rPr>
          <w:rFonts w:hint="eastAsia" w:ascii="宋体" w:hAnsi="宋体" w:eastAsia="宋体" w:cs="宋体"/>
          <w:bCs/>
          <w:sz w:val="24"/>
          <w:lang w:eastAsia="zh-CN"/>
        </w:rPr>
        <w:t>、中标人维护人员在进场维保或维修作业时需穿戴统一工作服及工作证，工作服及工作证由中标人负责配备。</w:t>
      </w:r>
    </w:p>
    <w:p w14:paraId="64C62ED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7</w:t>
      </w:r>
      <w:r>
        <w:rPr>
          <w:rFonts w:hint="eastAsia" w:ascii="宋体" w:hAnsi="宋体" w:eastAsia="宋体" w:cs="宋体"/>
          <w:bCs/>
          <w:sz w:val="24"/>
          <w:lang w:eastAsia="zh-CN"/>
        </w:rPr>
        <w:t>、中标人必须遵纪守法，严格执行国家、广东省、珠海市有关法律、法规和制度。</w:t>
      </w:r>
    </w:p>
    <w:p w14:paraId="3BE4400C">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val="en-US" w:eastAsia="zh-CN"/>
        </w:rPr>
        <w:t>8</w:t>
      </w:r>
      <w:r>
        <w:rPr>
          <w:rFonts w:hint="eastAsia" w:ascii="宋体" w:hAnsi="宋体" w:eastAsia="宋体" w:cs="宋体"/>
          <w:bCs/>
          <w:sz w:val="24"/>
          <w:lang w:eastAsia="zh-CN"/>
        </w:rPr>
        <w:t>、中标人在运维过程中，若未能及时排查供配电设备设施的安全隐患问题，或者未向院方及时书面告知，造成严重后果的，院方有权解除合同，并要求中标人赔偿由此导致的一切损失。</w:t>
      </w:r>
    </w:p>
    <w:p w14:paraId="5C69C995">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19、其中</w:t>
      </w:r>
      <w:r>
        <w:rPr>
          <w:rFonts w:hint="eastAsia" w:ascii="宋体" w:hAnsi="宋体" w:cs="宋体"/>
          <w:color w:val="000000"/>
          <w:kern w:val="0"/>
          <w:sz w:val="24"/>
          <w:szCs w:val="24"/>
          <w:lang w:val="en-US" w:eastAsia="zh-CN"/>
        </w:rPr>
        <w:t>新建综合大楼供配电系统按实际投入使用时间开始进行维保并支付相应维保费。</w:t>
      </w:r>
    </w:p>
    <w:p w14:paraId="5AE66B7D">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20、</w:t>
      </w:r>
      <w:r>
        <w:rPr>
          <w:rFonts w:hint="eastAsia" w:ascii="宋体" w:hAnsi="宋体" w:eastAsia="宋体" w:cs="宋体"/>
          <w:bCs/>
          <w:sz w:val="24"/>
          <w:lang w:eastAsia="zh-CN"/>
        </w:rPr>
        <w:t>自合同签订之日起1年，合同采用1+1模式签订。在合同期内，院方每月对电气维保工作进行考核，具体考核细则由院方根据实际情况制定（见附件1）。若累计3次考核不达标（低于90分），或有效投诉大于2次，院方有权解除合同。合同期满前2个月，由院方对合同履约情况进行综合考核，其中平时考核分数占比60%，年终满意度测评占比40%，若综合分数大于或等于90分，且双方均无异议，则续签合同1年，若考核不达标（综合分数小于90分），院方有权终止合同。</w:t>
      </w:r>
    </w:p>
    <w:p w14:paraId="260DA3AC">
      <w:pPr>
        <w:widowControl/>
        <w:adjustRightInd w:val="0"/>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六、付款方式</w:t>
      </w:r>
    </w:p>
    <w:p w14:paraId="4C21BC8B">
      <w:pPr>
        <w:widowControl/>
        <w:adjustRightInd w:val="0"/>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经院方考核后，根据考核结果按月支付维保费用。每个月末，甲方于收到乙方开出的合法有效等额发票及出具的经甲方书面审核合格的电梯维保工作报告后，3个月内向乙方支付该月的维护保养费。</w:t>
      </w:r>
    </w:p>
    <w:p w14:paraId="5B5226F4">
      <w:pPr>
        <w:widowControl/>
        <w:adjustRightInd w:val="0"/>
        <w:snapToGrid w:val="0"/>
        <w:spacing w:line="360" w:lineRule="auto"/>
        <w:ind w:firstLine="480" w:firstLineChars="200"/>
        <w:rPr>
          <w:rFonts w:hint="eastAsia" w:ascii="宋体" w:hAnsi="宋体" w:cs="宋体"/>
          <w:bCs/>
          <w:sz w:val="24"/>
          <w:lang w:val="en-US" w:eastAsia="zh-CN"/>
        </w:rPr>
      </w:pPr>
    </w:p>
    <w:p w14:paraId="40E31A4D">
      <w:pPr>
        <w:jc w:val="right"/>
        <w:rPr>
          <w:rFonts w:hint="eastAsia" w:ascii="宋体" w:hAnsi="宋体" w:cs="宋体"/>
          <w:bCs/>
          <w:sz w:val="24"/>
        </w:rPr>
      </w:pPr>
      <w:r>
        <w:rPr>
          <w:rFonts w:hint="eastAsia" w:ascii="宋体" w:hAnsi="宋体" w:cs="宋体"/>
          <w:bCs/>
          <w:sz w:val="24"/>
        </w:rPr>
        <w:t xml:space="preserve">   珠海市中西医结合医院</w:t>
      </w:r>
    </w:p>
    <w:p w14:paraId="21698A81">
      <w:pPr>
        <w:jc w:val="center"/>
        <w:rPr>
          <w:rFonts w:hint="eastAsia"/>
          <w:sz w:val="32"/>
          <w:szCs w:val="32"/>
        </w:rPr>
      </w:pPr>
      <w:r>
        <w:rPr>
          <w:rFonts w:hint="eastAsia" w:ascii="宋体" w:hAnsi="宋体" w:cs="宋体"/>
          <w:bCs/>
          <w:sz w:val="24"/>
        </w:rPr>
        <w:t xml:space="preserve">                                                   </w:t>
      </w:r>
      <w:r>
        <w:rPr>
          <w:rFonts w:hint="eastAsia" w:ascii="宋体" w:hAnsi="宋体" w:cs="宋体"/>
          <w:bCs/>
          <w:sz w:val="24"/>
          <w:lang w:eastAsia="zh-CN"/>
        </w:rPr>
        <w:t>总务</w:t>
      </w:r>
      <w:r>
        <w:rPr>
          <w:rFonts w:hint="eastAsia" w:ascii="宋体" w:hAnsi="宋体" w:cs="宋体"/>
          <w:bCs/>
          <w:sz w:val="24"/>
        </w:rPr>
        <w:t>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78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5E101">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545E1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4F322"/>
    <w:multiLevelType w:val="singleLevel"/>
    <w:tmpl w:val="4EC4F3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NDg5ZDYyNDU5MDYxNjUwZjJkY2JlODEzMjNkNDUifQ=="/>
  </w:docVars>
  <w:rsids>
    <w:rsidRoot w:val="00956595"/>
    <w:rsid w:val="001E32A1"/>
    <w:rsid w:val="00314F79"/>
    <w:rsid w:val="00646312"/>
    <w:rsid w:val="00956595"/>
    <w:rsid w:val="00D86558"/>
    <w:rsid w:val="01AB23DF"/>
    <w:rsid w:val="02CA2411"/>
    <w:rsid w:val="04D961D2"/>
    <w:rsid w:val="05F215DA"/>
    <w:rsid w:val="06BC62C2"/>
    <w:rsid w:val="089445F5"/>
    <w:rsid w:val="0A394D32"/>
    <w:rsid w:val="0E384C75"/>
    <w:rsid w:val="0F596DD9"/>
    <w:rsid w:val="109721F0"/>
    <w:rsid w:val="10CC228F"/>
    <w:rsid w:val="10E261B1"/>
    <w:rsid w:val="12470936"/>
    <w:rsid w:val="15494AF6"/>
    <w:rsid w:val="161019F1"/>
    <w:rsid w:val="1AF7289A"/>
    <w:rsid w:val="1D141E15"/>
    <w:rsid w:val="1FA77D7C"/>
    <w:rsid w:val="208330B8"/>
    <w:rsid w:val="2150247C"/>
    <w:rsid w:val="230F7DC9"/>
    <w:rsid w:val="26E478C3"/>
    <w:rsid w:val="274C7C07"/>
    <w:rsid w:val="2A046A9A"/>
    <w:rsid w:val="2A442517"/>
    <w:rsid w:val="2A7124F1"/>
    <w:rsid w:val="2ABF66C9"/>
    <w:rsid w:val="2B815643"/>
    <w:rsid w:val="2BF10F0D"/>
    <w:rsid w:val="326F499F"/>
    <w:rsid w:val="347A6720"/>
    <w:rsid w:val="34B84026"/>
    <w:rsid w:val="35A54B95"/>
    <w:rsid w:val="3672117D"/>
    <w:rsid w:val="37465132"/>
    <w:rsid w:val="387621B1"/>
    <w:rsid w:val="387C718B"/>
    <w:rsid w:val="39DA2225"/>
    <w:rsid w:val="39F7798F"/>
    <w:rsid w:val="3A0100BD"/>
    <w:rsid w:val="3B1968AD"/>
    <w:rsid w:val="3C3A31D9"/>
    <w:rsid w:val="3D1A302F"/>
    <w:rsid w:val="40AD1F78"/>
    <w:rsid w:val="41C41101"/>
    <w:rsid w:val="41F74B66"/>
    <w:rsid w:val="4232169D"/>
    <w:rsid w:val="45090FEE"/>
    <w:rsid w:val="45E51BD9"/>
    <w:rsid w:val="481446BB"/>
    <w:rsid w:val="4849219C"/>
    <w:rsid w:val="49903B46"/>
    <w:rsid w:val="4EE7286F"/>
    <w:rsid w:val="508205CE"/>
    <w:rsid w:val="50E5374C"/>
    <w:rsid w:val="545A5203"/>
    <w:rsid w:val="556D6BE9"/>
    <w:rsid w:val="560D4FDF"/>
    <w:rsid w:val="561B0A15"/>
    <w:rsid w:val="56CC2D80"/>
    <w:rsid w:val="57811FC9"/>
    <w:rsid w:val="5A816D3E"/>
    <w:rsid w:val="5B75239C"/>
    <w:rsid w:val="5CD02427"/>
    <w:rsid w:val="5D2E4F44"/>
    <w:rsid w:val="5DAB3A48"/>
    <w:rsid w:val="634E77AA"/>
    <w:rsid w:val="6A5430DB"/>
    <w:rsid w:val="6A5864E9"/>
    <w:rsid w:val="6B1545DE"/>
    <w:rsid w:val="6DC506F3"/>
    <w:rsid w:val="6DD10457"/>
    <w:rsid w:val="6E237515"/>
    <w:rsid w:val="6FC1387B"/>
    <w:rsid w:val="705F2453"/>
    <w:rsid w:val="70FE54E7"/>
    <w:rsid w:val="722135F2"/>
    <w:rsid w:val="727D1FBC"/>
    <w:rsid w:val="729B5FC0"/>
    <w:rsid w:val="7338355D"/>
    <w:rsid w:val="73B31C3E"/>
    <w:rsid w:val="73E80006"/>
    <w:rsid w:val="75FF080A"/>
    <w:rsid w:val="76080E37"/>
    <w:rsid w:val="76576537"/>
    <w:rsid w:val="7AB90228"/>
    <w:rsid w:val="7B1B17E4"/>
    <w:rsid w:val="7CFA5C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left="716" w:leftChars="341" w:firstLine="2"/>
    </w:pPr>
    <w:rPr>
      <w:rFonts w:ascii="宋体" w:hAnsi="宋体"/>
      <w:bCs/>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555555"/>
      <w:u w:val="none"/>
    </w:rPr>
  </w:style>
  <w:style w:type="character" w:styleId="10">
    <w:name w:val="Hyperlink"/>
    <w:basedOn w:val="8"/>
    <w:qFormat/>
    <w:uiPriority w:val="0"/>
    <w:rPr>
      <w:color w:val="555555"/>
      <w:u w:val="none"/>
    </w:rPr>
  </w:style>
  <w:style w:type="character" w:customStyle="1" w:styleId="11">
    <w:name w:val="页脚 Char"/>
    <w:basedOn w:val="8"/>
    <w:link w:val="4"/>
    <w:qFormat/>
    <w:uiPriority w:val="0"/>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target_fixed"/>
    <w:basedOn w:val="8"/>
    <w:qFormat/>
    <w:uiPriority w:val="0"/>
  </w:style>
  <w:style w:type="character" w:customStyle="1" w:styleId="14">
    <w:name w:val="button"/>
    <w:basedOn w:val="8"/>
    <w:qFormat/>
    <w:uiPriority w:val="0"/>
  </w:style>
  <w:style w:type="character" w:customStyle="1" w:styleId="15">
    <w:name w:val="tmpztreemove_arrow"/>
    <w:basedOn w:val="8"/>
    <w:qFormat/>
    <w:uiPriority w:val="0"/>
  </w:style>
  <w:style w:type="character" w:customStyle="1" w:styleId="16">
    <w:name w:val="on"/>
    <w:basedOn w:val="8"/>
    <w:qFormat/>
    <w:uiPriority w:val="0"/>
    <w:rPr>
      <w:vanish/>
      <w:shd w:val="clear" w:color="auto" w:fill="FFFFFF"/>
    </w:rPr>
  </w:style>
  <w:style w:type="paragraph" w:styleId="17">
    <w:name w:val="List Paragraph"/>
    <w:basedOn w:val="1"/>
    <w:qFormat/>
    <w:uiPriority w:val="99"/>
    <w:pPr>
      <w:ind w:firstLine="420" w:firstLineChars="200"/>
    </w:p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纯文本_0"/>
    <w:basedOn w:val="18"/>
    <w:next w:val="18"/>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2249</Words>
  <Characters>2368</Characters>
  <Lines>2</Lines>
  <Paragraphs>1</Paragraphs>
  <TotalTime>48</TotalTime>
  <ScaleCrop>false</ScaleCrop>
  <LinksUpToDate>false</LinksUpToDate>
  <CharactersWithSpaces>2422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2018-10-23T11:43:00Z</dcterms:created>
  <dc:creator>SDWM</dc:creator>
  <cp:lastModifiedBy>郑</cp:lastModifiedBy>
  <cp:lastPrinted>2023-09-28T02:42:00Z</cp:lastPrinted>
  <dcterms:modified xsi:type="dcterms:W3CDTF">2025-07-29T03:46:15Z</dcterms:modified>
  <dc:title>投标资质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0D64E16FE50F47249CA185BD0118A92A_13</vt:lpwstr>
  </property>
  <property fmtid="{D5CDD505-2E9C-101B-9397-08002B2CF9AE}" pid="4" name="KSOTemplateDocerSaveRecord">
    <vt:lpwstr>eyJoZGlkIjoiNzFjZWI1ZGY0YjMyMzhlYzRiY2I0NTY1NzAyNzc0OGMiLCJ1c2VySWQiOiIzODgxMzUyNjIifQ==</vt:lpwstr>
  </property>
</Properties>
</file>