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ind w:firstLine="380" w:firstLineChars="50"/>
        <w:jc w:val="center"/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  <w:t>珠海市中西医结合医院</w:t>
      </w:r>
    </w:p>
    <w:p>
      <w:pPr>
        <w:spacing w:line="360" w:lineRule="auto"/>
        <w:ind w:firstLine="380" w:firstLineChars="50"/>
        <w:jc w:val="center"/>
        <w:rPr>
          <w:rFonts w:ascii="华文新魏" w:eastAsia="华文新魏"/>
          <w:b/>
          <w:spacing w:val="20"/>
          <w:kern w:val="10"/>
          <w:sz w:val="72"/>
          <w:szCs w:val="72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val="en-US" w:eastAsia="zh-CN"/>
        </w:rPr>
        <w:t>市场调研报名资料</w:t>
      </w:r>
    </w:p>
    <w:p>
      <w:pPr>
        <w:widowControl/>
        <w:jc w:val="center"/>
        <w:rPr>
          <w:rFonts w:hint="eastAsia" w:ascii="黑体" w:hAnsi="黑体" w:eastAsia="黑体"/>
          <w:b/>
          <w:color w:val="000000"/>
          <w:spacing w:val="8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报名项目（包组）名称：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报名公司名称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</w:p>
    <w:p>
      <w:pPr>
        <w:spacing w:line="480" w:lineRule="auto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br w:type="page"/>
      </w:r>
    </w:p>
    <w:sdt>
      <w:sdtPr>
        <w:rPr>
          <w:rFonts w:ascii="宋体" w:hAnsi="宋体" w:eastAsia="宋体" w:cstheme="minorBidi"/>
          <w:kern w:val="2"/>
          <w:sz w:val="48"/>
          <w:szCs w:val="48"/>
          <w:lang w:val="en-US" w:eastAsia="zh-CN" w:bidi="ar-SA"/>
        </w:rPr>
        <w:id w:val="147477637"/>
        <w15:color w:val="DBDBDB"/>
        <w:docPartObj>
          <w:docPartGallery w:val="Table of Contents"/>
          <w:docPartUnique/>
        </w:docPartObj>
      </w:sdtPr>
      <w:sdtEndPr>
        <w:rPr>
          <w:rFonts w:hint="default" w:ascii="华文楷体" w:hAnsi="华文楷体" w:eastAsia="华文楷体" w:cstheme="minorBidi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48"/>
              <w:szCs w:val="48"/>
            </w:rPr>
          </w:pPr>
          <w:r>
            <w:rPr>
              <w:rFonts w:ascii="宋体" w:hAnsi="宋体" w:eastAsia="宋体"/>
              <w:sz w:val="48"/>
              <w:szCs w:val="48"/>
            </w:rPr>
            <w:t>目录</w:t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_Toc3910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 公司相关资质（生产厂家、各级授权供应商）</w:t>
          </w:r>
          <w:r>
            <w:tab/>
          </w:r>
          <w:r>
            <w:fldChar w:fldCharType="begin"/>
          </w:r>
          <w:r>
            <w:instrText xml:space="preserve"> PAGEREF _Toc3910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_Toc2779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 货物的生产企业是否为中小企业</w:t>
          </w:r>
          <w:r>
            <w:tab/>
          </w:r>
          <w:r>
            <w:fldChar w:fldCharType="begin"/>
          </w:r>
          <w:r>
            <w:instrText xml:space="preserve"> PAGEREF _Toc2779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_Toc20433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>三、 产品授权书</w:t>
          </w:r>
          <w:r>
            <w:rPr>
              <w:rFonts w:hint="eastAsia"/>
              <w:lang w:eastAsia="zh-CN"/>
            </w:rPr>
            <w:t>、法人授权书</w:t>
          </w:r>
          <w:r>
            <w:tab/>
          </w:r>
          <w:r>
            <w:fldChar w:fldCharType="begin"/>
          </w:r>
          <w:r>
            <w:instrText xml:space="preserve"> PAGEREF _Toc20433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_Toc22137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 信用信息证明</w:t>
          </w:r>
          <w:r>
            <w:tab/>
          </w:r>
          <w:r>
            <w:fldChar w:fldCharType="begin"/>
          </w:r>
          <w:r>
            <w:instrText xml:space="preserve"> PAGEREF _Toc22137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_Toc3029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五、 </w:t>
          </w:r>
          <w:r>
            <w:rPr>
              <w:rFonts w:hint="eastAsia"/>
              <w:lang w:val="en-US" w:eastAsia="zh-CN"/>
            </w:rPr>
            <w:t>产品注册证、</w:t>
          </w:r>
          <w:r>
            <w:rPr>
              <w:rFonts w:hint="eastAsia"/>
            </w:rPr>
            <w:t>技术参数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详细</w:t>
          </w:r>
          <w:r>
            <w:rPr>
              <w:rFonts w:hint="eastAsia"/>
            </w:rPr>
            <w:t>配置清单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产品彩页</w:t>
          </w:r>
          <w:r>
            <w:tab/>
          </w:r>
          <w:r>
            <w:fldChar w:fldCharType="begin"/>
          </w:r>
          <w:r>
            <w:instrText xml:space="preserve"> PAGEREF _Toc3029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_Toc29178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六、 产品价格方案推荐表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_Toc18004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七、 耗材价格方案推荐表（如有）</w:t>
          </w:r>
          <w:r>
            <w:tab/>
          </w:r>
          <w:r>
            <w:fldChar w:fldCharType="begin"/>
          </w:r>
          <w:r>
            <w:instrText xml:space="preserve"> PAGEREF _Toc18004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_Toc10393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 w:ascii="华文楷体" w:hAnsi="华文楷体" w:eastAsia="华文楷体"/>
              <w:szCs w:val="32"/>
            </w:rPr>
            <w:t xml:space="preserve">八、 </w:t>
          </w:r>
          <w:r>
            <w:rPr>
              <w:rFonts w:hint="eastAsia"/>
            </w:rPr>
            <w:t>成交业绩表</w:t>
          </w:r>
          <w:r>
            <w:tab/>
          </w:r>
          <w:r>
            <w:fldChar w:fldCharType="begin"/>
          </w:r>
          <w:r>
            <w:instrText xml:space="preserve"> PAGEREF _Toc10393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_Toc18620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九、 佐证材料（中标通知书/合同/发票等）</w:t>
          </w:r>
          <w:r>
            <w:tab/>
          </w:r>
          <w:r>
            <w:fldChar w:fldCharType="begin"/>
          </w:r>
          <w:r>
            <w:instrText xml:space="preserve"> PAGEREF _Toc18620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tabs>
              <w:tab w:val="left" w:pos="763"/>
              <w:tab w:val="center" w:pos="4479"/>
            </w:tabs>
            <w:spacing w:line="480" w:lineRule="auto"/>
            <w:jc w:val="left"/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</w:sdtContent>
    </w:sdt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  <w:sectPr>
          <w:pgSz w:w="11906" w:h="16838"/>
          <w:pgMar w:top="1134" w:right="1474" w:bottom="1134" w:left="1474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sz w:val="32"/>
          <w:szCs w:val="32"/>
        </w:rPr>
        <w:t>供应商应严格按上表要求准备纸质文件，按顺序装订成册，不可使用活页夹装订，正本加盖公章，在</w:t>
      </w:r>
      <w:r>
        <w:rPr>
          <w:rFonts w:hint="eastAsia" w:ascii="华文楷体" w:hAnsi="华文楷体" w:eastAsia="华文楷体"/>
          <w:b/>
          <w:sz w:val="32"/>
          <w:szCs w:val="32"/>
          <w:lang w:eastAsia="zh-CN"/>
        </w:rPr>
        <w:t>报名截止时间前交至医学工程部</w:t>
      </w:r>
      <w:r>
        <w:rPr>
          <w:rFonts w:hint="eastAsia" w:ascii="华文楷体" w:hAnsi="华文楷体" w:eastAsia="华文楷体"/>
          <w:b/>
          <w:sz w:val="32"/>
          <w:szCs w:val="32"/>
        </w:rPr>
        <w:t>。</w:t>
      </w:r>
    </w:p>
    <w:p>
      <w:pPr>
        <w:pStyle w:val="3"/>
        <w:bidi w:val="0"/>
        <w:spacing w:line="240" w:lineRule="auto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Toc3910"/>
      <w:r>
        <w:rPr>
          <w:rFonts w:hint="eastAsia"/>
          <w:lang w:val="en-US" w:eastAsia="zh-CN"/>
        </w:rPr>
        <w:t>公司相关资质（生产厂家、各级授权供应商）</w:t>
      </w:r>
      <w:bookmarkEnd w:id="0"/>
    </w:p>
    <w:p>
      <w:pPr>
        <w:pStyle w:val="3"/>
        <w:bidi w:val="0"/>
        <w:rPr>
          <w:rFonts w:hint="eastAsia"/>
          <w:lang w:val="en-US" w:eastAsia="zh-CN"/>
        </w:rPr>
      </w:pPr>
      <w:bookmarkStart w:id="1" w:name="_Toc2779"/>
      <w:r>
        <w:rPr>
          <w:rFonts w:hint="eastAsia"/>
          <w:lang w:val="en-US" w:eastAsia="zh-CN"/>
        </w:rPr>
        <w:t>货物的生产企业是否为中小企业</w:t>
      </w:r>
      <w:bookmarkEnd w:id="1"/>
    </w:p>
    <w:p>
      <w:pPr>
        <w:bidi w:val="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中小企业声明函（货物类）</w:t>
      </w:r>
    </w:p>
    <w:p>
      <w:pPr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2" w:name="_Toc20433"/>
      <w:r>
        <w:rPr>
          <w:rFonts w:hint="eastAsia"/>
        </w:rPr>
        <w:t>产品授权书</w:t>
      </w:r>
      <w:bookmarkEnd w:id="2"/>
      <w:r>
        <w:rPr>
          <w:rFonts w:hint="eastAsia"/>
          <w:lang w:eastAsia="zh-CN"/>
        </w:rPr>
        <w:t>、法人授权书</w:t>
      </w:r>
    </w:p>
    <w:p>
      <w:pPr>
        <w:pStyle w:val="3"/>
        <w:bidi w:val="0"/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信用信息证明</w:t>
      </w: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3" w:name="_Toc3029"/>
      <w:r>
        <w:rPr>
          <w:rFonts w:hint="eastAsia"/>
          <w:lang w:val="en-US" w:eastAsia="zh-CN"/>
        </w:rPr>
        <w:t>产品注册证、</w:t>
      </w:r>
      <w:r>
        <w:rPr>
          <w:rFonts w:hint="eastAsia"/>
        </w:rPr>
        <w:t>技术参数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详细</w:t>
      </w:r>
      <w:r>
        <w:rPr>
          <w:rFonts w:hint="eastAsia"/>
        </w:rPr>
        <w:t>配置清单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产品彩页</w:t>
      </w:r>
      <w:bookmarkEnd w:id="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lang w:val="en-US" w:eastAsia="zh-CN"/>
        </w:rPr>
      </w:pPr>
      <w:bookmarkStart w:id="4" w:name="_Toc29178"/>
      <w:r>
        <w:rPr>
          <w:rFonts w:hint="eastAsia"/>
          <w:lang w:val="en-US" w:eastAsia="zh-CN"/>
        </w:rPr>
        <w:t>产品价格方案推荐表</w:t>
      </w:r>
      <w:bookmarkEnd w:id="4"/>
    </w:p>
    <w:tbl>
      <w:tblPr>
        <w:tblStyle w:val="11"/>
        <w:tblpPr w:leftFromText="180" w:rightFromText="180" w:vertAnchor="page" w:horzAnchor="page" w:tblpX="1413" w:tblpY="2502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62"/>
        <w:gridCol w:w="85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产业发展：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全国市场占有率（%）：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主要用户范围（如全国/华南地区/华北地区）：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货物的生产企业是否为中小企业（是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耗材 / 易损备品备件（指需要定期更换）（有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），如有需提供采购渠道及报价（详见耗材价格方案推荐表）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标准配置方案：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供应商针对本项目提供的除产品标准配置方案以外额外增加的配置，包含在总报价内，无需再额外收费（有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注：1、所有产品交付到院方时，需保证院方可直接使用，无需院方再进行其他后续工作，如机房改造、信息系统端口连接等（交钥匙工程）！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如产品有耗材采购，需配合院方线上采购工作！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维保供货方案：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保修：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</w:t>
            </w:r>
            <w:bookmarkStart w:id="8" w:name="_GoBack"/>
            <w:bookmarkEnd w:id="8"/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售后服务响应时间：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小时响应，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到达现场，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内无法完成维修将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日历日提供不低于该品牌型号的备用机。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升级更新：设备出保后遇到软件升级情况，免费升级更新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/  需收费更新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供货期：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日历日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2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价格方案：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tbl>
            <w:tblPr>
              <w:tblStyle w:val="10"/>
              <w:tblW w:w="4996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9"/>
              <w:gridCol w:w="3045"/>
              <w:gridCol w:w="2018"/>
              <w:gridCol w:w="1427"/>
              <w:gridCol w:w="14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品牌型号</w:t>
                  </w: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（台/套）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单价（万元）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总价（万元）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公司代表签字：         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5" w:name="_Toc18004"/>
      <w:r>
        <w:rPr>
          <w:rFonts w:hint="eastAsia"/>
          <w:lang w:val="en-US" w:eastAsia="zh-CN"/>
        </w:rPr>
        <w:t>耗材价格方案推荐表（如有）</w:t>
      </w:r>
      <w:bookmarkEnd w:id="5"/>
    </w:p>
    <w:tbl>
      <w:tblPr>
        <w:tblStyle w:val="10"/>
        <w:tblW w:w="5618" w:type="pct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19"/>
        <w:gridCol w:w="1384"/>
        <w:gridCol w:w="1187"/>
        <w:gridCol w:w="1187"/>
        <w:gridCol w:w="1017"/>
        <w:gridCol w:w="1356"/>
        <w:gridCol w:w="1187"/>
        <w:gridCol w:w="1187"/>
        <w:gridCol w:w="1187"/>
        <w:gridCol w:w="1435"/>
        <w:gridCol w:w="94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试剂耗材名称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省平台ID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省平台联盟价格（按人份）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珠海市三甲收费标准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★标注单位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每人份单价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本院是否在用（是/否）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发票复印件清单（3份分以上，放佐证材料处）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520"/>
        </w:tabs>
      </w:pPr>
    </w:p>
    <w:p>
      <w:pPr>
        <w:tabs>
          <w:tab w:val="left" w:pos="2520"/>
        </w:tabs>
      </w:pPr>
    </w:p>
    <w:p>
      <w:pPr>
        <w:tabs>
          <w:tab w:val="left" w:pos="2520"/>
        </w:tabs>
      </w:pPr>
      <w:r>
        <w:rPr>
          <w:rFonts w:hint="eastAsia"/>
          <w:sz w:val="24"/>
          <w:szCs w:val="32"/>
          <w:vertAlign w:val="baseline"/>
          <w:lang w:val="en-US" w:eastAsia="zh-CN"/>
        </w:rPr>
        <w:t>公司代表签字：                                                                                 时间：</w:t>
      </w:r>
    </w:p>
    <w:p>
      <w:pPr>
        <w:tabs>
          <w:tab w:val="left" w:pos="2520"/>
        </w:tabs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ascii="华文楷体" w:hAnsi="华文楷体" w:eastAsia="华文楷体"/>
          <w:b/>
          <w:sz w:val="32"/>
          <w:szCs w:val="32"/>
        </w:rPr>
      </w:pPr>
      <w:bookmarkStart w:id="6" w:name="_Toc10393"/>
      <w:r>
        <w:rPr>
          <w:rFonts w:hint="eastAsia"/>
        </w:rPr>
        <w:t>成交业绩表</w:t>
      </w:r>
      <w:bookmarkEnd w:id="6"/>
    </w:p>
    <w:tbl>
      <w:tblPr>
        <w:tblStyle w:val="10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2"/>
        <w:gridCol w:w="1332"/>
        <w:gridCol w:w="1977"/>
        <w:gridCol w:w="2235"/>
        <w:gridCol w:w="292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采购单位（医院等）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成交价格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配置与我院方案异同点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1.列举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成交项目须为同品牌型号或具备参考性项目；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2.重点列举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广东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省内三甲医院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成交记录；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3.需提供中标通知书或合同扫描件并加盖公章。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7" w:name="_Toc18620"/>
      <w:r>
        <w:rPr>
          <w:rFonts w:hint="eastAsia"/>
          <w:lang w:val="en-US" w:eastAsia="zh-CN"/>
        </w:rPr>
        <w:t>佐证材料（中标通知书/合同/发票等）</w:t>
      </w:r>
      <w:bookmarkEnd w:id="7"/>
    </w:p>
    <w:p>
      <w:pPr>
        <w:numPr>
          <w:ilvl w:val="0"/>
          <w:numId w:val="0"/>
        </w:numPr>
        <w:jc w:val="right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注：遮挡价格无效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B3F05"/>
    <w:multiLevelType w:val="singleLevel"/>
    <w:tmpl w:val="B6DB3F0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09D345"/>
    <w:multiLevelType w:val="singleLevel"/>
    <w:tmpl w:val="2609D34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jg4OGYzMzU1ZjUzZjQ2MjJjMzY3OWNkMDI1ZDMifQ=="/>
    <w:docVar w:name="KSO_WPS_MARK_KEY" w:val="623fd02e-55c1-4fae-875e-4ed78545286a"/>
  </w:docVars>
  <w:rsids>
    <w:rsidRoot w:val="00275A22"/>
    <w:rsid w:val="00096F73"/>
    <w:rsid w:val="00097E4D"/>
    <w:rsid w:val="000D6B2B"/>
    <w:rsid w:val="00107CDB"/>
    <w:rsid w:val="00136D38"/>
    <w:rsid w:val="001416B3"/>
    <w:rsid w:val="001741CE"/>
    <w:rsid w:val="00180338"/>
    <w:rsid w:val="00184ADA"/>
    <w:rsid w:val="001F51C1"/>
    <w:rsid w:val="00213496"/>
    <w:rsid w:val="00236E50"/>
    <w:rsid w:val="00242411"/>
    <w:rsid w:val="00245480"/>
    <w:rsid w:val="002756ED"/>
    <w:rsid w:val="00275A22"/>
    <w:rsid w:val="002921D7"/>
    <w:rsid w:val="002B730F"/>
    <w:rsid w:val="00356EA7"/>
    <w:rsid w:val="003C7B52"/>
    <w:rsid w:val="003E0C9D"/>
    <w:rsid w:val="00412969"/>
    <w:rsid w:val="00451CB1"/>
    <w:rsid w:val="004935BA"/>
    <w:rsid w:val="004C21C8"/>
    <w:rsid w:val="004C6D06"/>
    <w:rsid w:val="00521EAA"/>
    <w:rsid w:val="005279E5"/>
    <w:rsid w:val="005B4CA7"/>
    <w:rsid w:val="005D457C"/>
    <w:rsid w:val="005D7B10"/>
    <w:rsid w:val="005F7E38"/>
    <w:rsid w:val="00602FE1"/>
    <w:rsid w:val="00640E43"/>
    <w:rsid w:val="00657B34"/>
    <w:rsid w:val="0066625E"/>
    <w:rsid w:val="00674169"/>
    <w:rsid w:val="006771EA"/>
    <w:rsid w:val="00696FFD"/>
    <w:rsid w:val="006A3650"/>
    <w:rsid w:val="006F2AD5"/>
    <w:rsid w:val="0073013B"/>
    <w:rsid w:val="00762B6B"/>
    <w:rsid w:val="007E20D9"/>
    <w:rsid w:val="00810BEA"/>
    <w:rsid w:val="0082244D"/>
    <w:rsid w:val="00847BE2"/>
    <w:rsid w:val="00896EB3"/>
    <w:rsid w:val="008B55F8"/>
    <w:rsid w:val="00991467"/>
    <w:rsid w:val="009F2D1D"/>
    <w:rsid w:val="00A00628"/>
    <w:rsid w:val="00A476D4"/>
    <w:rsid w:val="00A52940"/>
    <w:rsid w:val="00A60607"/>
    <w:rsid w:val="00A7267A"/>
    <w:rsid w:val="00AA77A3"/>
    <w:rsid w:val="00AE36BC"/>
    <w:rsid w:val="00AF20EC"/>
    <w:rsid w:val="00AF7AB2"/>
    <w:rsid w:val="00B62E37"/>
    <w:rsid w:val="00BA009A"/>
    <w:rsid w:val="00BB0298"/>
    <w:rsid w:val="00BB091C"/>
    <w:rsid w:val="00C14CE0"/>
    <w:rsid w:val="00C21FCE"/>
    <w:rsid w:val="00C23DBB"/>
    <w:rsid w:val="00C332CB"/>
    <w:rsid w:val="00CB5113"/>
    <w:rsid w:val="00CD7E8A"/>
    <w:rsid w:val="00CF4763"/>
    <w:rsid w:val="00D06B0F"/>
    <w:rsid w:val="00D32CD4"/>
    <w:rsid w:val="00DA4A72"/>
    <w:rsid w:val="00DD462A"/>
    <w:rsid w:val="00DD7675"/>
    <w:rsid w:val="00E62574"/>
    <w:rsid w:val="00E81B61"/>
    <w:rsid w:val="00E8351A"/>
    <w:rsid w:val="00EB3A46"/>
    <w:rsid w:val="00EB3B14"/>
    <w:rsid w:val="00F04611"/>
    <w:rsid w:val="00F25412"/>
    <w:rsid w:val="00FA5259"/>
    <w:rsid w:val="00FB6884"/>
    <w:rsid w:val="03423080"/>
    <w:rsid w:val="052B6311"/>
    <w:rsid w:val="0C676F35"/>
    <w:rsid w:val="0CAF535A"/>
    <w:rsid w:val="0CFD10B7"/>
    <w:rsid w:val="0E3C7A95"/>
    <w:rsid w:val="11D230A2"/>
    <w:rsid w:val="123E46C7"/>
    <w:rsid w:val="195B6C27"/>
    <w:rsid w:val="1D557C72"/>
    <w:rsid w:val="1E5E2638"/>
    <w:rsid w:val="2117353F"/>
    <w:rsid w:val="22C24A6D"/>
    <w:rsid w:val="25367B5E"/>
    <w:rsid w:val="26D84140"/>
    <w:rsid w:val="2F652B6B"/>
    <w:rsid w:val="35011E32"/>
    <w:rsid w:val="3DB557CE"/>
    <w:rsid w:val="42F0695E"/>
    <w:rsid w:val="433F73B6"/>
    <w:rsid w:val="4BD614BD"/>
    <w:rsid w:val="4DE933F8"/>
    <w:rsid w:val="5828442A"/>
    <w:rsid w:val="59B26362"/>
    <w:rsid w:val="62520492"/>
    <w:rsid w:val="6884615B"/>
    <w:rsid w:val="6B484A9C"/>
    <w:rsid w:val="6C707345"/>
    <w:rsid w:val="6E5A34F9"/>
    <w:rsid w:val="75B808AA"/>
    <w:rsid w:val="75B92B91"/>
    <w:rsid w:val="763F30B5"/>
    <w:rsid w:val="76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unhideWhenUsed/>
    <w:qFormat/>
    <w:uiPriority w:val="39"/>
    <w:rPr>
      <w:rFonts w:asciiTheme="minorAscii" w:hAnsiTheme="minorAscii"/>
      <w:sz w:val="28"/>
    </w:rPr>
  </w:style>
  <w:style w:type="paragraph" w:styleId="9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autoRedefine/>
    <w:qFormat/>
    <w:uiPriority w:val="0"/>
    <w:pPr>
      <w:widowControl w:val="0"/>
      <w:spacing w:line="400" w:lineRule="exact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313346"/>
      <w:u w:val="none"/>
    </w:rPr>
  </w:style>
  <w:style w:type="character" w:customStyle="1" w:styleId="14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customStyle="1" w:styleId="16">
    <w:name w:val="正文1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标题 Char"/>
    <w:basedOn w:val="12"/>
    <w:link w:val="9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日期 Char"/>
    <w:basedOn w:val="12"/>
    <w:link w:val="4"/>
    <w:autoRedefine/>
    <w:semiHidden/>
    <w:qFormat/>
    <w:uiPriority w:val="99"/>
    <w:rPr>
      <w:szCs w:val="24"/>
    </w:rPr>
  </w:style>
  <w:style w:type="paragraph" w:customStyle="1" w:styleId="21">
    <w:name w:val="WPSOffice手动目录 1"/>
    <w:autoRedefine/>
    <w:qFormat/>
    <w:uiPriority w:val="0"/>
    <w:pPr>
      <w:ind w:leftChars="0"/>
    </w:pPr>
    <w:rPr>
      <w:rFonts w:ascii="Calibri" w:hAnsi="Calibri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1006</Words>
  <Characters>1011</Characters>
  <Lines>8</Lines>
  <Paragraphs>2</Paragraphs>
  <TotalTime>894</TotalTime>
  <ScaleCrop>false</ScaleCrop>
  <LinksUpToDate>false</LinksUpToDate>
  <CharactersWithSpaces>1246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2019-08-19T08:27:00Z</dcterms:created>
  <dc:creator>PCI-ZDWY</dc:creator>
  <cp:lastModifiedBy>Mr.Weather</cp:lastModifiedBy>
  <dcterms:modified xsi:type="dcterms:W3CDTF">2024-01-10T09:33:56Z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25F489BF27C8457289824F63792EE6C2_13</vt:lpwstr>
  </property>
</Properties>
</file>